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PENN Entertainment,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707569109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Christopher M. McLean</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HG Vora Capital Management, LLC, 330 Madison Avenue, 21st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(212)707-5044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01/13/2025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707569109</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HG Vora Capital Management,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7,250,000.00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7,250,000.00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7,250,000.00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707569109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Parag Vora</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7,250,000.00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7,250,000.00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7,250,000.00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1004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PENN Entertainment,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825 Berkshire Blvd., Suite 200, Wyomissing, PENNSYLVANIA , 19610.</w:t>
      </w:r>
    </w:p>
    <w:p>
      <w:pPr>
        <w:spacing w:after="0" w:line="2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22"/>
          <w:szCs w:val="22"/>
          <w:color w:val="auto"/>
        </w:rPr>
        <w:t>EXPLANATORY NOTE TO ITEM 1: This Amendment No. 3 to the Schedule 13D ("Amendment No. 3") amends</w:t>
      </w:r>
    </w:p>
    <w:p>
      <w:pPr>
        <w:spacing w:after="0" w:line="6" w:lineRule="exact"/>
        <w:rPr>
          <w:sz w:val="20"/>
          <w:szCs w:val="20"/>
          <w:color w:val="auto"/>
        </w:rPr>
      </w:pPr>
    </w:p>
    <w:p>
      <w:pPr>
        <w:jc w:val="both"/>
        <w:ind w:left="960" w:hanging="951"/>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and supplements the Schedule 13D filed by the Reporting Persons with the Securities and Exchange Commission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("SEC") on December 28, 2023 (the "Original Schedule 13D"), as previously amended by Amendment No. 1 to Schedule 13D filed by the Reporting Persons with the SEC on January 16, 2024 ("Amendment No. 1") and Amendment No. 2 to Schedule 13D filed by the Reporting Persons with the SEC on September 3, 2024 ("Amendment No. 2," and the Original Schedule 13D as amended by Amendment No. 1 and Amendment No. 2, the "Amended Schedule 13D") relating to the common stock, par value $0.01 per share (the "Common Stock") of PENN Entertainment, Inc., a Pennsylvania corporation (the "Issuer"). Except as specifically provided herein, this Amendment No. 3 does not modify any of the information previously reported in the Amended Schedule 13D. Capitalized terms used herein and not otherwise defined in this Amendment No. 3 have the meanings set forth in the Amended Schedule 13D.</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40"/>
        <w:spacing w:after="0" w:line="245" w:lineRule="auto"/>
        <w:rPr>
          <w:sz w:val="20"/>
          <w:szCs w:val="20"/>
          <w:color w:val="auto"/>
        </w:rPr>
      </w:pPr>
      <w:r>
        <w:rPr>
          <w:rFonts w:ascii="Times New Roman" w:cs="Times New Roman" w:eastAsia="Times New Roman" w:hAnsi="Times New Roman"/>
          <w:sz w:val="21"/>
          <w:szCs w:val="21"/>
          <w:color w:val="auto"/>
        </w:rPr>
        <w:t>Item 4 of the Amended Schedule 13D is hereby amended and supplemented to add the following paragraph to the end thereof: Since January 2024, the Reporting Persons have engaged in discussions with gaming regulators in over two dozen states where the Issuer operates and, where appropriate, have submitted licensing applications, several of which have been issued. As of December 2024, the Reporting Persons were no longer restricted under applicable gaming regulations in all but one of the states from submitting advance notice of recommended board nominees for the Issuer's 2025 annual meeting of shareholders. The Issuer's deadline for submitting advance notice is February 4, 2025. Following extensive dialogue with the gaming regulator in the single state which recently confirmed it could not, under its customary timeframe, complete its licensure review of the Reporting Persons' applications (which were initially submitted in January 2024 and deemed complete in May 2024) by the Issuer's deadline for receiving advance notice, the Reporting Persons decided to restructure its investment in the Issuer. On January 13, 2025, the Reporting Persons reduced their voting and dispositive power with respect to the Issuer's Common Stock to less than 5% while maintaining their economic interest. As a result, the Reporting Persons are no longer restricted under the applicable</w:t>
      </w:r>
    </w:p>
    <w:p>
      <w:pPr>
        <w:sectPr>
          <w:pgSz w:w="11900" w:h="16838" w:orient="portrait"/>
          <w:cols w:equalWidth="0" w:num="1">
            <w:col w:w="11160"/>
          </w:cols>
          <w:pgMar w:left="360" w:top="111" w:right="379" w:bottom="0" w:gutter="0" w:footer="0" w:header="0"/>
          <w:type w:val="continuous"/>
        </w:sectPr>
      </w:pPr>
    </w:p>
    <w:bookmarkStart w:id="3" w:name="page4"/>
    <w:bookmarkEnd w:id="3"/>
    <w:p>
      <w:pPr>
        <w:ind w:left="920" w:right="420"/>
        <w:spacing w:after="0" w:line="256" w:lineRule="auto"/>
        <w:rPr>
          <w:sz w:val="20"/>
          <w:szCs w:val="20"/>
          <w:color w:val="auto"/>
        </w:rPr>
      </w:pPr>
      <w:r>
        <w:rPr>
          <w:rFonts w:ascii="Times New Roman" w:cs="Times New Roman" w:eastAsia="Times New Roman" w:hAnsi="Times New Roman"/>
          <w:sz w:val="22"/>
          <w:szCs w:val="22"/>
          <w:color w:val="auto"/>
        </w:rPr>
        <w:t>gaming regulations in any state where the Issuer operates from submitting advance notice of recommended board nominees. The Reporting Persons plan to submit such advance notice to the Issuer.</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60"/>
        <w:spacing w:after="0" w:line="253" w:lineRule="auto"/>
        <w:rPr>
          <w:sz w:val="20"/>
          <w:szCs w:val="20"/>
          <w:color w:val="auto"/>
        </w:rPr>
      </w:pPr>
      <w:r>
        <w:rPr>
          <w:rFonts w:ascii="Times New Roman" w:cs="Times New Roman" w:eastAsia="Times New Roman" w:hAnsi="Times New Roman"/>
          <w:sz w:val="21"/>
          <w:szCs w:val="21"/>
          <w:color w:val="auto"/>
        </w:rPr>
        <w:t>Item 5 of the Amended Schedule 13D is hereby amended and restated in its entirety as follows: (a) and (b). Set forth below is the beneficial ownership of shares of Common Stock of the Issuer for each person named in Item 2. 1.</w:t>
      </w:r>
    </w:p>
    <w:p>
      <w:pPr>
        <w:spacing w:after="0" w:line="1" w:lineRule="exact"/>
        <w:rPr>
          <w:sz w:val="20"/>
          <w:szCs w:val="20"/>
          <w:color w:val="auto"/>
        </w:rPr>
      </w:pPr>
    </w:p>
    <w:p>
      <w:pPr>
        <w:ind w:left="920" w:right="20" w:hanging="912"/>
        <w:spacing w:after="0" w:line="189" w:lineRule="auto"/>
        <w:tabs>
          <w:tab w:leader="none" w:pos="920" w:val="left"/>
        </w:tabs>
        <w:numPr>
          <w:ilvl w:val="0"/>
          <w:numId w:val="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Investment Manager and Principal - 7,250,000, which represents 4.8% of the Issuer's outstanding Common Stock. All percentages set forth in this Schedule 13D are based upon the Issuer's 152,629,402 outstanding shares of Common Stock as of November 1, 2024, as reported in the Issuer's Form 10-Q filed with the Securities and Exchange Commission on November 7, 2024.</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 5(a) of this Amendment No. 3 is hereby incorporated by reference.</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 In the 60 days prior to this filing, the following describes the Reporting Persons' purchase and sale activity in</w:t>
      </w:r>
    </w:p>
    <w:p>
      <w:pPr>
        <w:spacing w:after="0" w:line="14" w:lineRule="exact"/>
        <w:rPr>
          <w:rFonts w:ascii="Times New Roman" w:cs="Times New Roman" w:eastAsia="Times New Roman" w:hAnsi="Times New Roman"/>
          <w:sz w:val="22"/>
          <w:szCs w:val="22"/>
          <w:color w:val="auto"/>
        </w:rPr>
      </w:pPr>
    </w:p>
    <w:p>
      <w:pPr>
        <w:ind w:left="920" w:right="40" w:hanging="912"/>
        <w:spacing w:after="0" w:line="237"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of Common Stock, which were done in a privately negotiated block trade: Trade Date Shares Purchased/(Sold) Average Price of Shares Purchased/Sold January 13, 2025 (7,250,000) $19.19</w:t>
      </w:r>
    </w:p>
    <w:p>
      <w:pPr>
        <w:spacing w:after="0" w:line="1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No person other than the Reporting Persons, the Master Fund, or Downriver C are known to have the right to receive</w:t>
      </w:r>
    </w:p>
    <w:p>
      <w:pPr>
        <w:spacing w:after="0" w:line="25" w:lineRule="exact"/>
        <w:rPr>
          <w:rFonts w:ascii="Times New Roman" w:cs="Times New Roman" w:eastAsia="Times New Roman" w:hAnsi="Times New Roman"/>
          <w:sz w:val="22"/>
          <w:szCs w:val="22"/>
          <w:color w:val="auto"/>
        </w:rPr>
      </w:pPr>
    </w:p>
    <w:p>
      <w:pPr>
        <w:ind w:left="920" w:right="340" w:hanging="912"/>
        <w:spacing w:after="0" w:line="237"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the power to direct the receipt of dividends from, or the proceeds from the sale of, the shares of Common Stock reported herein.</w:t>
      </w:r>
    </w:p>
    <w:p>
      <w:pPr>
        <w:spacing w:after="0" w:line="16" w:lineRule="exact"/>
        <w:rPr>
          <w:rFonts w:ascii="Times New Roman" w:cs="Times New Roman" w:eastAsia="Times New Roman" w:hAnsi="Times New Roman"/>
          <w:sz w:val="22"/>
          <w:szCs w:val="22"/>
          <w:color w:val="auto"/>
        </w:rPr>
      </w:pPr>
    </w:p>
    <w:p>
      <w:pPr>
        <w:ind w:left="920" w:right="4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Reporting Persons ceased to be the beneficial owners of more than five percent of the Common Stock on January 13, 2025.</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80"/>
        <w:spacing w:after="0" w:line="232" w:lineRule="auto"/>
        <w:rPr>
          <w:sz w:val="20"/>
          <w:szCs w:val="20"/>
          <w:color w:val="auto"/>
        </w:rPr>
      </w:pPr>
      <w:r>
        <w:rPr>
          <w:rFonts w:ascii="Times New Roman" w:cs="Times New Roman" w:eastAsia="Times New Roman" w:hAnsi="Times New Roman"/>
          <w:sz w:val="22"/>
          <w:szCs w:val="22"/>
          <w:color w:val="auto"/>
        </w:rPr>
        <w:t>Item 6 of the Amended Schedule 13D is hereby amended and restated in its entirety to read as follows: In addition to the Common Stock referenced above, as of the date hereof, the Reporting Persons are party to cash-settled swap agreements ("Cash-Settled Swaps") with one or more unaffiliated third-party financial institutions that reference 13,000,000 shares of Common Stock. The aggregate purchase price for the Cash-Settled Swaps was $246,725,000. The Cash-Settled Swaps can only be settled in cash and do not permit settlement in the form of Common Stock. The Cash-Settled Swaps do not give the Reporting Persons, directly or indirectly, the power to vote or direct the voting or the power to dispose or direct the disposition of the Common Stock referenced by the Cash-Settled Swaps. In addition to the Common Stock and the Cash-Settled Swaps referenced above, as of the date hereof, the Reporting Persons are party to cash-settled option agreements (the "Cash-Settled Options") with one or more unaffiliated third-party financial institutions that reference an aggregate of 12,900,000 shares of Common Stock. The aggregate purchase price for the Cash-Settled Options was $32,306,965. The Cash-Settled Options can only be settled in cash and do not permit settlement in the form of Common Stock. The Cash-Settled Options do not give the Reporting Persons, directly or indirectly, the power to vote or direct the voting or the power to dispose or direct the disposition of the Common Stock referenced by the Cash-Settled Options. The Reporting Persons do not have voting power or dispositive power with respect to the Common Stock or the other securities of the Issuer referenced in such cash-settled instruments and disclaim beneficial ownership of the Common Stock or other securities to which such cash-settled instruments relate.</w:t>
      </w:r>
    </w:p>
    <w:p>
      <w:pPr>
        <w:spacing w:after="0" w:line="2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HG Vora Capital Management, LLC</w:t>
      </w:r>
    </w:p>
    <w:p>
      <w:pPr>
        <w:spacing w:after="0" w:line="152" w:lineRule="exact"/>
        <w:rPr>
          <w:sz w:val="20"/>
          <w:szCs w:val="20"/>
          <w:color w:val="auto"/>
        </w:rPr>
      </w:pPr>
    </w:p>
    <w:p>
      <w:pPr>
        <w:ind w:left="2500"/>
        <w:spacing w:after="0"/>
        <w:tabs>
          <w:tab w:leader="none" w:pos="3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Parag Vora</w:t>
      </w:r>
    </w:p>
    <w:p>
      <w:pPr>
        <w:spacing w:after="0" w:line="44"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2"/>
          <w:szCs w:val="22"/>
          <w:color w:val="auto"/>
        </w:rPr>
        <w:t>Name/Title: Manager</w:t>
      </w:r>
    </w:p>
    <w:p>
      <w:pPr>
        <w:spacing w:after="0" w:line="44" w:lineRule="exact"/>
        <w:rPr>
          <w:sz w:val="20"/>
          <w:szCs w:val="20"/>
          <w:color w:val="auto"/>
        </w:rPr>
      </w:pPr>
    </w:p>
    <w:p>
      <w:pPr>
        <w:ind w:left="2500"/>
        <w:spacing w:after="0"/>
        <w:tabs>
          <w:tab w:leader="none" w:pos="3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01/14/2025</w:t>
      </w:r>
    </w:p>
    <w:p>
      <w:pPr>
        <w:spacing w:after="0" w:line="1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Parag Vora</w:t>
      </w:r>
    </w:p>
    <w:p>
      <w:pPr>
        <w:spacing w:after="0" w:line="152"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PARAG VORA</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PARAG VORA</w:t>
      </w:r>
    </w:p>
    <w:p>
      <w:pPr>
        <w:spacing w:after="0" w:line="44"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01/14/2025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2"/>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2025-01-14T12:53:39Z</dcterms:created>
  <dcterms:modified xsi:type="dcterms:W3CDTF">2025-01-14T12:53:39Z</dcterms:modified>
</cp:coreProperties>
</file>