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November 5, 2026</w:t>
      </w:r>
    </w:p>
    <w:p>
      <w:pPr>
        <w:spacing w:after="0" w:line="28"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w:t>
      </w:r>
      <w:r>
        <w:rPr>
          <w:rFonts w:ascii="Times New Roman" w:cs="Times New Roman" w:eastAsia="Times New Roman" w:hAnsi="Times New Roman"/>
          <w:sz w:val="21"/>
          <w:szCs w:val="21"/>
          <w:b w:val="1"/>
          <w:bCs w:val="1"/>
          <w:color w:val="auto"/>
        </w:rPr>
        <w:t>__________________</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PENN Entertainment,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142"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246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0-24206</w:t>
            </w:r>
          </w:p>
        </w:tc>
        <w:tc>
          <w:tcPr>
            <w:tcW w:w="25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23-2234473</w:t>
            </w:r>
          </w:p>
        </w:tc>
      </w:tr>
      <w:tr>
        <w:trPr>
          <w:trHeight w:val="168"/>
        </w:trPr>
        <w:tc>
          <w:tcPr>
            <w:tcW w:w="2460" w:type="dxa"/>
            <w:vAlign w:val="bottom"/>
          </w:tcPr>
          <w:p>
            <w:pPr>
              <w:jc w:val="center"/>
              <w:ind w:right="43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6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(Commission File</w:t>
            </w:r>
          </w:p>
        </w:tc>
        <w:tc>
          <w:tcPr>
            <w:tcW w:w="25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 Identification</w:t>
            </w:r>
          </w:p>
        </w:tc>
      </w:tr>
      <w:tr>
        <w:trPr>
          <w:trHeight w:val="210"/>
        </w:trPr>
        <w:tc>
          <w:tcPr>
            <w:tcW w:w="246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rPr>
              <w:t>Incorporation)</w:t>
            </w: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25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No.)</w:t>
            </w:r>
          </w:p>
        </w:tc>
      </w:tr>
      <w:tr>
        <w:trPr>
          <w:trHeight w:val="516"/>
        </w:trPr>
        <w:tc>
          <w:tcPr>
            <w:tcW w:w="2460" w:type="dxa"/>
            <w:vAlign w:val="bottom"/>
          </w:tcPr>
          <w:p>
            <w:pPr>
              <w:spacing w:after="0"/>
              <w:rPr>
                <w:sz w:val="24"/>
                <w:szCs w:val="24"/>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825 Berkshire Blvd., Suite 200</w:t>
            </w:r>
          </w:p>
        </w:tc>
        <w:tc>
          <w:tcPr>
            <w:tcW w:w="2520" w:type="dxa"/>
            <w:vAlign w:val="bottom"/>
          </w:tcPr>
          <w:p>
            <w:pPr>
              <w:spacing w:after="0"/>
              <w:rPr>
                <w:sz w:val="24"/>
                <w:szCs w:val="24"/>
                <w:color w:val="auto"/>
              </w:rPr>
            </w:pPr>
          </w:p>
        </w:tc>
      </w:tr>
      <w:tr>
        <w:trPr>
          <w:trHeight w:val="191"/>
        </w:trPr>
        <w:tc>
          <w:tcPr>
            <w:tcW w:w="2460" w:type="dxa"/>
            <w:vAlign w:val="bottom"/>
          </w:tcPr>
          <w:p>
            <w:pPr>
              <w:spacing w:after="0"/>
              <w:rPr>
                <w:sz w:val="16"/>
                <w:szCs w:val="16"/>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Wyomissing, PA 19610</w:t>
            </w:r>
          </w:p>
        </w:tc>
        <w:tc>
          <w:tcPr>
            <w:tcW w:w="2520" w:type="dxa"/>
            <w:vAlign w:val="bottom"/>
          </w:tcPr>
          <w:p>
            <w:pPr>
              <w:spacing w:after="0"/>
              <w:rPr>
                <w:sz w:val="16"/>
                <w:szCs w:val="16"/>
                <w:color w:val="auto"/>
              </w:rPr>
            </w:pPr>
          </w:p>
        </w:tc>
      </w:tr>
      <w:tr>
        <w:trPr>
          <w:trHeight w:val="210"/>
        </w:trPr>
        <w:tc>
          <w:tcPr>
            <w:tcW w:w="2460" w:type="dxa"/>
            <w:vAlign w:val="bottom"/>
          </w:tcPr>
          <w:p>
            <w:pPr>
              <w:spacing w:after="0"/>
              <w:rPr>
                <w:sz w:val="18"/>
                <w:szCs w:val="18"/>
                <w:color w:val="auto"/>
              </w:rPr>
            </w:pPr>
          </w:p>
        </w:tc>
        <w:tc>
          <w:tcPr>
            <w:tcW w:w="4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2520" w:type="dxa"/>
            <w:vAlign w:val="bottom"/>
          </w:tcPr>
          <w:p>
            <w:pPr>
              <w:spacing w:after="0"/>
              <w:rPr>
                <w:sz w:val="18"/>
                <w:szCs w:val="18"/>
                <w:color w:val="auto"/>
              </w:rPr>
            </w:pPr>
          </w:p>
        </w:tc>
      </w:tr>
    </w:tbl>
    <w:p>
      <w:pPr>
        <w:spacing w:after="0" w:line="23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610-373-2400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59"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67"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14d-2(b) under the Exchange Act (17 CFR 240.14d-2(b))</w:t>
      </w:r>
    </w:p>
    <w:p>
      <w:pPr>
        <w:spacing w:after="0" w:line="167" w:lineRule="exact"/>
        <w:rPr>
          <w:rFonts w:ascii="MS PGothic" w:cs="MS PGothic" w:eastAsia="MS PGothic" w:hAnsi="MS PGothic"/>
          <w:sz w:val="16"/>
          <w:szCs w:val="16"/>
          <w:color w:val="auto"/>
        </w:rPr>
      </w:pPr>
    </w:p>
    <w:p>
      <w:pPr>
        <w:jc w:val="right"/>
        <w:ind w:left="3760" w:right="3700" w:hanging="3712"/>
        <w:spacing w:after="0" w:line="449" w:lineRule="auto"/>
        <w:tabs>
          <w:tab w:leader="none" w:pos="36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07"/>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1"/>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PENN</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29"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7"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96" w:lineRule="exact"/>
        <w:rPr>
          <w:sz w:val="20"/>
          <w:szCs w:val="20"/>
          <w:color w:val="auto"/>
        </w:rPr>
      </w:pPr>
    </w:p>
    <w:p>
      <w:pPr>
        <w:ind w:firstLine="324"/>
        <w:spacing w:after="0" w:line="280" w:lineRule="auto"/>
        <w:rPr>
          <w:sz w:val="20"/>
          <w:szCs w:val="20"/>
          <w:color w:val="auto"/>
        </w:rPr>
      </w:pPr>
      <w:r>
        <w:rPr>
          <w:rFonts w:ascii="Times New Roman" w:cs="Times New Roman" w:eastAsia="Times New Roman" w:hAnsi="Times New Roman"/>
          <w:sz w:val="16"/>
          <w:szCs w:val="16"/>
          <w:color w:val="auto"/>
        </w:rPr>
        <w:t>On November 5, 2026, PENN Entertainment, Inc. (the “Company”) issued a press release announcing the results of operations and financial condition for the three months ended September 30, 2026. A copy of this press release is being furnished as Exhibit 99.1 to this Current Report on Form 8-K.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 Exhibits.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Description of Exhibit</w:t>
            </w:r>
          </w:p>
        </w:tc>
        <w:tc>
          <w:tcPr>
            <w:tcW w:w="0" w:type="dxa"/>
            <w:vAlign w:val="bottom"/>
          </w:tcPr>
          <w:p>
            <w:pPr>
              <w:spacing w:after="0"/>
              <w:rPr>
                <w:sz w:val="1"/>
                <w:szCs w:val="1"/>
                <w:color w:val="auto"/>
              </w:rPr>
            </w:pPr>
          </w:p>
        </w:tc>
      </w:tr>
      <w:tr>
        <w:trPr>
          <w:trHeight w:val="212"/>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520"/>
        <w:spacing w:after="0"/>
        <w:tabs>
          <w:tab w:leader="none" w:pos="94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FF"/>
        </w:rPr>
        <w:t>Press release dated November 5, 2026 of PENN Entertainment, Inc.</w:t>
      </w:r>
    </w:p>
    <w:p>
      <w:pPr>
        <w:spacing w:after="0" w:line="32" w:lineRule="exact"/>
        <w:rPr>
          <w:sz w:val="20"/>
          <w:szCs w:val="20"/>
          <w:color w:val="auto"/>
        </w:rPr>
      </w:pPr>
    </w:p>
    <w:p>
      <w:pPr>
        <w:ind w:left="960" w:hanging="396"/>
        <w:spacing w:after="0"/>
        <w:tabs>
          <w:tab w:leader="none" w:pos="9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12529"/>
        </w:rPr>
        <w:t>Cover Page Interactive Data File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2"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220" w:firstLine="32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p>
      <w:pPr>
        <w:ind w:left="20"/>
        <w:spacing w:after="0"/>
        <w:tabs>
          <w:tab w:leader="none" w:pos="720" w:val="left"/>
          <w:tab w:leader="none" w:pos="48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November 5, 2026</w:t>
      </w:r>
      <w:r>
        <w:rPr>
          <w:sz w:val="20"/>
          <w:szCs w:val="20"/>
          <w:color w:val="auto"/>
        </w:rPr>
        <w:tab/>
      </w:r>
      <w:r>
        <w:rPr>
          <w:rFonts w:ascii="Times New Roman" w:cs="Times New Roman" w:eastAsia="Times New Roman" w:hAnsi="Times New Roman"/>
          <w:sz w:val="16"/>
          <w:szCs w:val="16"/>
          <w:color w:val="auto"/>
        </w:rPr>
        <w:t>PENN Entertainment, Inc.</w:t>
      </w:r>
    </w:p>
    <w:p>
      <w:pPr>
        <w:spacing w:after="0" w:line="302" w:lineRule="exact"/>
        <w:rPr>
          <w:sz w:val="20"/>
          <w:szCs w:val="20"/>
          <w:color w:val="auto"/>
        </w:rPr>
      </w:pPr>
    </w:p>
    <w:tbl>
      <w:tblPr>
        <w:tblLayout w:type="fixed"/>
        <w:tblInd w:w="4880" w:type="dxa"/>
        <w:tblCellMar>
          <w:top w:w="0" w:type="dxa"/>
          <w:left w:w="0" w:type="dxa"/>
          <w:bottom w:w="0" w:type="dxa"/>
          <w:right w:w="0" w:type="dxa"/>
        </w:tblCellMar>
      </w:tblPr>
      <w:tr>
        <w:trPr>
          <w:trHeight w:val="213"/>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Christopher Rogers</w:t>
            </w:r>
          </w:p>
        </w:tc>
      </w:tr>
      <w:tr>
        <w:trPr>
          <w:trHeight w:val="207"/>
        </w:trPr>
        <w:tc>
          <w:tcPr>
            <w:tcW w:w="860" w:type="dxa"/>
            <w:vAlign w:val="bottom"/>
          </w:tcPr>
          <w:p>
            <w:pPr>
              <w:spacing w:after="0"/>
              <w:rPr>
                <w:sz w:val="17"/>
                <w:szCs w:val="17"/>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Christopher Rogers</w:t>
            </w:r>
          </w:p>
        </w:tc>
      </w:tr>
      <w:tr>
        <w:trPr>
          <w:trHeight w:val="229"/>
        </w:trPr>
        <w:tc>
          <w:tcPr>
            <w:tcW w:w="86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Strategy and Legal Officer and Secretary</w:t>
            </w:r>
          </w:p>
        </w:tc>
      </w:tr>
    </w:tbl>
    <w:p>
      <w:pPr>
        <w:sectPr>
          <w:pgSz w:w="11900" w:h="16838" w:orient="portrait"/>
          <w:cols w:equalWidth="0" w:num="1">
            <w:col w:w="11240"/>
          </w:cols>
          <w:pgMar w:left="320" w:top="89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634365</wp:posOffset>
            </wp:positionV>
            <wp:extent cx="3291840" cy="1268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9184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 Entertainment, Inc. Reports Third Quarter Results</w:t>
      </w:r>
    </w:p>
    <w:p>
      <w:pPr>
        <w:spacing w:after="0" w:line="25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WYOMISSING, PA (November 5, 2026) - PENN Entertainment, Inc. (“PENN” or the “Company”) (Nasdaq: PENN) today reported financial results for the three and nine months ended September 30, 2026.</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Jay Snowden, Chief Executive Officer and President, said: “PENN’s third quarter results were highlighted by strong year-over-year growth in Retail Segment Adjusted EBITDAR, continued progress toward Interactive profitability, and further balance sheet deleveraging. Our Retail segment achieved record third quarter revenue, reflecting broad-based strength across the portfolio, including our completed development projects. Sustained revenue growth in U.S. standalone Hollywood iCasino and Canada, together with operational discipline, reinforces our confidence in achieving our full-year Adjusted EBITDA target in our Interactive segment. Importantly, the healthy operating trends we experienced across both our Retail and Interactive segments continued through October.”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Retail Segment Highlights</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w:t>
      </w:r>
    </w:p>
    <w:p>
      <w:pPr>
        <w:spacing w:after="0" w:line="13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$1.5 billion</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Segment Adjusted EBITDAR of $501.8 million; and</w:t>
      </w: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Segment Adjusted EBITDAR margins of 33.7%.</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Retail segment delivered better than expected revenue and Adjusted EBITDAR results, driven by same-store growth and contributions from our completed development projects,” said Mr. Snowden. “Property-level performance was supported by increases in rated revenue and spend per visit across all age segments, meaningful contributions from mid- and high-worth customers, and continued growth in unrated revenue. For the third consecutive quarter, Segment Adjusted EBITDAR margins improved year-over-year. We believe the returns we are generating from investments in our portfolio highlight the opportunity across our remaining development pipeline and position us well for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9"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3"/>
          <w:szCs w:val="23"/>
          <w:color w:val="auto"/>
          <w:vertAlign w:val="superscript"/>
        </w:rPr>
      </w:pPr>
      <w:r>
        <w:rPr>
          <w:rFonts w:ascii="Arial" w:cs="Arial" w:eastAsia="Arial" w:hAnsi="Arial"/>
          <w:sz w:val="14"/>
          <w:szCs w:val="14"/>
          <w:color w:val="auto"/>
        </w:rPr>
        <w:t>Retail Segment consists of retail operating segments which are composed of our Northeast, South, West, and Midwest reportable segments.</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Third Quarter Interactive Segment Highlights:</w:t>
      </w:r>
    </w:p>
    <w:p>
      <w:pPr>
        <w:spacing w:after="0" w:line="19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Revenues of $348.4 million (including tax gross-up of $191.4 million); and</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loss of $18.3 million.</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“Adjusted EBITDA in our Interactive segment improved meaningfully year-over-year, reflecting continued execution against our plan to achieve profitability. U.S. iCasino revenue growth was driven by the strength of standalone Hollywood iCasino, supported by efficient user acquisition and reinvestment. In Ontario, increased users and revenue per user contributed to revenue growth across both iCasino and online sports betting (“OSB”) as we continue to reinvest in one of our most attractive jurisdictions. We are also pleased with the early performance of our Alberta iCasino and OSB operations, which further expand our Canadian presence. These encouraging trends reinforce our strategic focus on U.S. iCasino and Canada as key drivers of profitable growth,” concluded Mr. Snowden.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Financial Position</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Total liquidity as of September 30, 2026 was $2.0 billion, including $1.0 billion of cash and cash equivalents. Traditional net debt as of September 30, 2026 was $1.8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61"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Summary of Third Quarter Results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three months ended</w:t>
            </w: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182"/>
        </w:trPr>
        <w:tc>
          <w:tcPr>
            <w:tcW w:w="20" w:type="dxa"/>
            <w:vAlign w:val="bottom"/>
          </w:tcPr>
          <w:p>
            <w:pPr>
              <w:spacing w:after="0"/>
              <w:rPr>
                <w:sz w:val="15"/>
                <w:szCs w:val="15"/>
                <w:color w:val="auto"/>
              </w:rPr>
            </w:pPr>
          </w:p>
        </w:tc>
        <w:tc>
          <w:tcPr>
            <w:tcW w:w="846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except per share data, unaudited)</w:t>
            </w:r>
          </w:p>
        </w:tc>
        <w:tc>
          <w:tcPr>
            <w:tcW w:w="140" w:type="dxa"/>
            <w:vAlign w:val="bottom"/>
          </w:tcPr>
          <w:p>
            <w:pPr>
              <w:spacing w:after="0"/>
              <w:rPr>
                <w:sz w:val="15"/>
                <w:szCs w:val="15"/>
                <w:color w:val="auto"/>
              </w:rPr>
            </w:pPr>
          </w:p>
        </w:tc>
        <w:tc>
          <w:tcPr>
            <w:tcW w:w="1180" w:type="dxa"/>
            <w:vAlign w:val="bottom"/>
          </w:tcPr>
          <w:p>
            <w:pPr>
              <w:jc w:val="right"/>
              <w:ind w:right="370"/>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54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1,717.3</w:t>
            </w: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(865.1)</w:t>
            </w:r>
          </w:p>
        </w:tc>
      </w:tr>
      <w:tr>
        <w:trPr>
          <w:trHeight w:val="257"/>
        </w:trPr>
        <w:tc>
          <w:tcPr>
            <w:tcW w:w="20" w:type="dxa"/>
            <w:vAlign w:val="bottom"/>
            <w:shd w:val="clear" w:color="auto" w:fill="CCEEFF"/>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4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Consolidated Adjusted EBITDA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194.9</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Rent expense associated with triple net operating leases </w:t>
            </w:r>
            <w:r>
              <w:rPr>
                <w:rFonts w:ascii="Arial" w:cs="Arial" w:eastAsia="Arial" w:hAnsi="Arial"/>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56"/>
        </w:trPr>
        <w:tc>
          <w:tcPr>
            <w:tcW w:w="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 payments to our REIT Landlords under Triple Net Leases </w:t>
            </w:r>
            <w:r>
              <w:rPr>
                <w:rFonts w:ascii="Arial" w:cs="Arial" w:eastAsia="Arial" w:hAnsi="Arial"/>
                <w:sz w:val="23"/>
                <w:szCs w:val="23"/>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r>
      <w:tr>
        <w:trPr>
          <w:trHeight w:val="257"/>
        </w:trPr>
        <w:tc>
          <w:tcPr>
            <w:tcW w:w="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bl>
    <w:p>
      <w:pPr>
        <w:spacing w:after="0" w:line="16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more information, definitions, and reconciliations see the “Non-GAAP Financial Measures” section below.</w:t>
      </w:r>
    </w:p>
    <w:p>
      <w:pPr>
        <w:spacing w:after="0" w:line="72"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the operating lease components of (i) our triple net master lease dated November 1, 2013 with Gaming and Leisure Properties, Inc. (Nasdaq: GLPI) (“GLPI”), as amended and restated effective January 1, 2023 (the “AR PENN Master Lease”), (ii) our triple net master lease entered into in conjunction with, and coterminous with, the AR PENN Master Lease (the “2023 Master Lease”), and (iii) our triple net master lease dated December 4, 2025 with VICI Properties Inc. (NYSE: VICI) (“VICI”) for the real estate assets used in the operations of Margaritaville Resort Casino and Hollywood Casino at Greektown (the “VICI Master Lease”), which replaced the Company’s prior separate triple net leases with VICI for such properties. Collectively these arrangements are referred to as our “triple net operating leases.” The expenses related to operating lease components contained within our triple net operating leases are recorded as “General and administrative” within the unaudited Consolidated Statements of Operations.</w:t>
      </w:r>
    </w:p>
    <w:p>
      <w:pPr>
        <w:spacing w:after="0" w:line="30" w:lineRule="exact"/>
        <w:rPr>
          <w:rFonts w:ascii="Arial" w:cs="Arial" w:eastAsia="Arial" w:hAnsi="Arial"/>
          <w:sz w:val="16"/>
          <w:szCs w:val="16"/>
          <w:color w:val="auto"/>
        </w:rPr>
      </w:pPr>
    </w:p>
    <w:p>
      <w:pPr>
        <w:ind w:left="660" w:hanging="328"/>
        <w:spacing w:after="0" w:line="286"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total cash payments made to GLPI and VICI (referred to collectively as our “REIT Landlords”) under our triple net operating leases (as defined above), the Pinnacle Master Lease, and the Morgantown Lease and collectively referred to as our “Triple Net Leases.”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EPS</w:t>
      </w:r>
    </w:p>
    <w:p>
      <w:pPr>
        <w:spacing w:after="0" w:line="191"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color w:val="auto"/>
        </w:rPr>
        <w:t>The following table reconciles diluted earnings (loss) per share (“EPS”) to Adjusted EPS (approximate EPS impact shown, per share; positive adjustments represent charges to income):</w:t>
      </w:r>
    </w:p>
    <w:p>
      <w:pPr>
        <w:spacing w:after="0" w:line="172"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For the three months ended</w:t>
      </w:r>
    </w:p>
    <w:p>
      <w:pPr>
        <w:jc w:val="center"/>
        <w:ind w:left="846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(6.03)</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Impairment losses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left="450"/>
              <w:spacing w:after="0"/>
              <w:rPr>
                <w:sz w:val="20"/>
                <w:szCs w:val="20"/>
                <w:color w:val="auto"/>
              </w:rPr>
            </w:pPr>
            <w:r>
              <w:rPr>
                <w:rFonts w:ascii="Arial" w:cs="Arial" w:eastAsia="Arial" w:hAnsi="Arial"/>
                <w:sz w:val="18"/>
                <w:szCs w:val="18"/>
                <w:color w:val="auto"/>
                <w:w w:val="96"/>
              </w:rPr>
              <w:t>5.75</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disposal of assets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(0.01)</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Pre-opening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left="450"/>
              <w:spacing w:after="0"/>
              <w:rPr>
                <w:sz w:val="20"/>
                <w:szCs w:val="20"/>
                <w:color w:val="auto"/>
              </w:rPr>
            </w:pPr>
            <w:r>
              <w:rPr>
                <w:rFonts w:ascii="Arial" w:cs="Arial" w:eastAsia="Arial" w:hAnsi="Arial"/>
                <w:sz w:val="18"/>
                <w:szCs w:val="18"/>
                <w:color w:val="auto"/>
                <w:w w:val="96"/>
              </w:rPr>
              <w:t>0.07</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matters inclusive of litigation settlements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6"/>
              </w:rPr>
              <w:t>0.04</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Transaction costs and other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left="450"/>
              <w:spacing w:after="0"/>
              <w:rPr>
                <w:sz w:val="20"/>
                <w:szCs w:val="20"/>
                <w:color w:val="auto"/>
              </w:rPr>
            </w:pPr>
            <w:r>
              <w:rPr>
                <w:rFonts w:ascii="Arial" w:cs="Arial" w:eastAsia="Arial" w:hAnsi="Arial"/>
                <w:sz w:val="18"/>
                <w:szCs w:val="18"/>
                <w:color w:val="auto"/>
                <w:w w:val="96"/>
              </w:rPr>
              <w:t>0.01</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80" w:type="dxa"/>
            <w:vAlign w:val="bottom"/>
          </w:tcPr>
          <w:p>
            <w:pPr>
              <w:ind w:left="240"/>
              <w:spacing w:after="0"/>
              <w:rPr>
                <w:sz w:val="20"/>
                <w:szCs w:val="20"/>
                <w:color w:val="auto"/>
              </w:rPr>
            </w:pPr>
            <w:r>
              <w:rPr>
                <w:rFonts w:ascii="Arial" w:cs="Arial" w:eastAsia="Arial" w:hAnsi="Arial"/>
                <w:sz w:val="18"/>
                <w:szCs w:val="18"/>
                <w:color w:val="auto"/>
              </w:rPr>
              <w:t>Gain on REIT transaction, net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center"/>
              <w:ind w:left="430"/>
              <w:spacing w:after="0"/>
              <w:rPr>
                <w:sz w:val="20"/>
                <w:szCs w:val="20"/>
                <w:color w:val="auto"/>
              </w:rPr>
            </w:pPr>
            <w:r>
              <w:rPr>
                <w:rFonts w:ascii="Arial" w:cs="Arial" w:eastAsia="Arial" w:hAnsi="Arial"/>
                <w:sz w:val="18"/>
                <w:szCs w:val="18"/>
                <w:color w:val="auto"/>
              </w:rPr>
              <w:t>(0.02)</w:t>
            </w:r>
          </w:p>
        </w:tc>
      </w:tr>
      <w:tr>
        <w:trPr>
          <w:trHeight w:val="229"/>
        </w:trPr>
        <w:tc>
          <w:tcPr>
            <w:tcW w:w="8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tax impact on net income (loss) adjustments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rPr>
              <w:t>(0.03)</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rPr>
              <w:t>(0.22)</w:t>
            </w: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income tax impact reflects current and deferred tax effects based on the nature of each adjustment and the applicable tax jurisdiction.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3</w:t>
      </w:r>
    </w:p>
    <w:p>
      <w:pPr>
        <w:sectPr>
          <w:pgSz w:w="11900" w:h="16838" w:orient="portrait"/>
          <w:cols w:equalWidth="0" w:num="1">
            <w:col w:w="11240"/>
          </w:cols>
          <w:pgMar w:left="320" w:top="8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PENN ENTERTAINMENT,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The Company aggregates its operations into five reportable segments: Northeast, South, West, Midwest, and Interactive.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For the three months ended</w:t>
            </w:r>
          </w:p>
        </w:tc>
        <w:tc>
          <w:tcPr>
            <w:tcW w:w="160" w:type="dxa"/>
            <w:vAlign w:val="bottom"/>
          </w:tcPr>
          <w:p>
            <w:pPr>
              <w:spacing w:after="0"/>
              <w:rPr>
                <w:sz w:val="17"/>
                <w:szCs w:val="17"/>
                <w:color w:val="auto"/>
              </w:rPr>
            </w:pPr>
          </w:p>
        </w:tc>
        <w:tc>
          <w:tcPr>
            <w:tcW w:w="25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For the nine months ended</w:t>
            </w:r>
          </w:p>
        </w:tc>
      </w:tr>
      <w:tr>
        <w:trPr>
          <w:trHeight w:val="235"/>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20"/>
                <w:szCs w:val="20"/>
                <w:color w:val="auto"/>
              </w:rPr>
            </w:pPr>
          </w:p>
        </w:tc>
        <w:tc>
          <w:tcPr>
            <w:tcW w:w="25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183"/>
        </w:trPr>
        <w:tc>
          <w:tcPr>
            <w:tcW w:w="20" w:type="dxa"/>
            <w:vAlign w:val="bottom"/>
          </w:tcPr>
          <w:p>
            <w:pPr>
              <w:spacing w:after="0"/>
              <w:rPr>
                <w:sz w:val="15"/>
                <w:szCs w:val="15"/>
                <w:color w:val="auto"/>
              </w:rPr>
            </w:pPr>
          </w:p>
        </w:tc>
        <w:tc>
          <w:tcPr>
            <w:tcW w:w="564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Northeast segment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708.3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2,127.0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2,083.0</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South segment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West segment </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405.7</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Midwest segment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w:t>
            </w:r>
          </w:p>
        </w:tc>
      </w:tr>
      <w:tr>
        <w:trPr>
          <w:trHeight w:val="230"/>
        </w:trPr>
        <w:tc>
          <w:tcPr>
            <w:tcW w:w="20" w:type="dxa"/>
            <w:vAlign w:val="bottom"/>
          </w:tcPr>
          <w:p>
            <w:pPr>
              <w:spacing w:after="0"/>
              <w:rPr>
                <w:sz w:val="19"/>
                <w:szCs w:val="19"/>
                <w:color w:val="auto"/>
              </w:rPr>
            </w:pPr>
          </w:p>
        </w:tc>
        <w:tc>
          <w:tcPr>
            <w:tcW w:w="56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Interactive </w:t>
            </w:r>
            <w:r>
              <w:rPr>
                <w:rFonts w:ascii="Arial" w:cs="Arial" w:eastAsia="Arial" w:hAnsi="Arial"/>
                <w:sz w:val="23"/>
                <w:szCs w:val="23"/>
                <w:color w:val="auto"/>
                <w:vertAlign w:val="superscript"/>
              </w:rPr>
              <w:t>(5)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903.9</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(6)</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120"/>
              <w:spacing w:after="0" w:line="230" w:lineRule="exact"/>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23"/>
                <w:szCs w:val="23"/>
                <w:color w:val="auto"/>
                <w:vertAlign w:val="superscript"/>
              </w:rPr>
              <w:t>(7)</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Segment Adjusted EBITDAR </w:t>
            </w:r>
            <w:r>
              <w:rPr>
                <w:rFonts w:ascii="Arial" w:cs="Arial" w:eastAsia="Arial" w:hAnsi="Arial"/>
                <w:sz w:val="23"/>
                <w:szCs w:val="23"/>
                <w:b w:val="1"/>
                <w:bCs w:val="1"/>
                <w:color w:val="auto"/>
                <w:vertAlign w:val="superscript"/>
              </w:rPr>
              <w:t>(8)</w:t>
            </w: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Northeast segment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601.6</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South segment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West segment </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150.3</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Midwest segment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r>
      <w:tr>
        <w:trPr>
          <w:trHeight w:val="230"/>
        </w:trPr>
        <w:tc>
          <w:tcPr>
            <w:tcW w:w="20" w:type="dxa"/>
            <w:vAlign w:val="bottom"/>
          </w:tcPr>
          <w:p>
            <w:pPr>
              <w:spacing w:after="0"/>
              <w:rPr>
                <w:sz w:val="19"/>
                <w:szCs w:val="19"/>
                <w:color w:val="auto"/>
              </w:rPr>
            </w:pPr>
          </w:p>
        </w:tc>
        <w:tc>
          <w:tcPr>
            <w:tcW w:w="56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Interactive </w:t>
            </w:r>
            <w:r>
              <w:rPr>
                <w:rFonts w:ascii="Arial" w:cs="Arial" w:eastAsia="Arial" w:hAnsi="Arial"/>
                <w:sz w:val="23"/>
                <w:szCs w:val="23"/>
                <w:color w:val="auto"/>
                <w:vertAlign w:val="superscript"/>
              </w:rPr>
              <w:t>(5)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(227.6)</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(6)</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3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Rent expense associated with triple net operating leases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340"/>
              <w:spacing w:after="0" w:line="223" w:lineRule="exact"/>
              <w:rPr>
                <w:sz w:val="20"/>
                <w:szCs w:val="20"/>
                <w:color w:val="auto"/>
              </w:rPr>
            </w:pPr>
            <w:r>
              <w:rPr>
                <w:rFonts w:ascii="Arial" w:cs="Arial" w:eastAsia="Arial" w:hAnsi="Arial"/>
                <w:sz w:val="18"/>
                <w:szCs w:val="18"/>
                <w:b w:val="1"/>
                <w:bCs w:val="1"/>
                <w:color w:val="auto"/>
              </w:rPr>
              <w:t xml:space="preserve">Consolidated Adjusted EBITDA </w:t>
            </w:r>
            <w:r>
              <w:rPr>
                <w:rFonts w:ascii="Arial" w:cs="Arial" w:eastAsia="Arial" w:hAnsi="Arial"/>
                <w:sz w:val="23"/>
                <w:szCs w:val="23"/>
                <w:b w:val="1"/>
                <w:bCs w:val="1"/>
                <w:color w:val="auto"/>
                <w:vertAlign w:val="superscript"/>
              </w:rPr>
              <w:t>(9)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60" w:hanging="328"/>
        <w:spacing w:after="0" w:line="269"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Northeast segment consists of the following properties: Ameristar East Chicago, Hollywood Casino at Greektown, Hollywood Casino Bangor, Hollywood Casino at Charles Town Races, Hollywood Casino Columbus, Hollywood Casino Lawrenceburg, Hollywood Casino Morgantown, Hollywood Casino at PENN National Race Course, Hollywood Casino Perryville, Hollywood Casino Toledo, Hollywood Casino York, Hollywood Gaming at Dayton Raceway, Hollywood Gaming at Mahoning Valley Race Course, Marquee by PENN, Hollywood Casino at The Meadows, and Plainridge Park Casino.</w:t>
      </w:r>
    </w:p>
    <w:p>
      <w:pPr>
        <w:spacing w:after="0" w:line="18" w:lineRule="exact"/>
        <w:rPr>
          <w:rFonts w:ascii="Arial" w:cs="Arial" w:eastAsia="Arial" w:hAnsi="Arial"/>
          <w:sz w:val="14"/>
          <w:szCs w:val="14"/>
          <w:color w:val="auto"/>
        </w:rPr>
      </w:pPr>
    </w:p>
    <w:p>
      <w:pPr>
        <w:ind w:left="660" w:hanging="328"/>
        <w:spacing w:after="0"/>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South segment consists of the following properties: 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Jackpot Casino, Ameristar Vicksburg, Boomtown Biloxi, Boomtown Bossier City, Boomtown Casino New Orleans, Hollywood Casino Gulf Coast, Hollywood Casino Tunica, L’Auberge Baton Rouge, L’Auberge Lake Charles, and Margaritaville Resort Casino.</w:t>
      </w:r>
    </w:p>
    <w:p>
      <w:pPr>
        <w:spacing w:after="0" w:line="39"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West segment consists of the following properties: Ameristar Black Hawk, Cactus Petes and Horseshu, M Resort Spa Casino, and Zia Park Casino.</w:t>
      </w:r>
    </w:p>
    <w:p>
      <w:pPr>
        <w:spacing w:after="0" w:line="55" w:lineRule="exact"/>
        <w:rPr>
          <w:rFonts w:ascii="Arial" w:cs="Arial" w:eastAsia="Arial" w:hAnsi="Arial"/>
          <w:sz w:val="14"/>
          <w:szCs w:val="14"/>
          <w:color w:val="auto"/>
        </w:rPr>
      </w:pPr>
    </w:p>
    <w:p>
      <w:pPr>
        <w:jc w:val="both"/>
        <w:ind w:left="660" w:hanging="328"/>
        <w:spacing w:after="0" w:line="283"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Midwest segment consists of the following properties: Ameristar Council Bluffs, Argosy Casino Alton, Argosy Casino Riverside, Hollywood Casino Aurora, Hollywood Casino Joliet, our 50% investment in Kansas Entertainment, LLC, which owns Hollywood Casino at Kansas Speedway, Hollywood Casino St. Louis, Prairie State Gaming, and River City Casino.</w:t>
      </w:r>
    </w:p>
    <w:p>
      <w:pPr>
        <w:spacing w:after="0" w:line="10" w:lineRule="exact"/>
        <w:rPr>
          <w:rFonts w:ascii="Arial" w:cs="Arial" w:eastAsia="Arial" w:hAnsi="Arial"/>
          <w:sz w:val="14"/>
          <w:szCs w:val="14"/>
          <w:color w:val="auto"/>
        </w:rPr>
      </w:pPr>
    </w:p>
    <w:p>
      <w:pPr>
        <w:jc w:val="both"/>
        <w:ind w:left="660" w:hanging="328"/>
        <w:spacing w:after="0" w:line="273"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Interactive segment includes all of our online sports betting, online casino/iCasino and social gaming operations, management of retail sports betting, and media. Interactive revenues are inclusive of a tax gross-up of $191.4 million and $139.5 million for the three months ended September 30, 2026 and 2025, respectively, and $562.7 million and $405.6 million for the nine months ended September 30, 2026 and 2025, respectively.</w:t>
      </w:r>
    </w:p>
    <w:p>
      <w:pPr>
        <w:spacing w:after="0" w:line="17" w:lineRule="exact"/>
        <w:rPr>
          <w:rFonts w:ascii="Arial" w:cs="Arial" w:eastAsia="Arial" w:hAnsi="Arial"/>
          <w:sz w:val="14"/>
          <w:szCs w:val="14"/>
          <w:color w:val="auto"/>
        </w:rPr>
      </w:pPr>
    </w:p>
    <w:p>
      <w:pPr>
        <w:jc w:val="both"/>
        <w:ind w:left="660" w:hanging="328"/>
        <w:spacing w:after="0" w:line="265"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Other category, included in the tables to reconcile the segment information to the consolidated information, consists of the Company’s stand-alone racing operations, namely Sanford-Orlando Kennel Club, Sam Houston and Valley Race Park, and our management contract for Retama Park Racetrack. The Other category also includes corporate overhead, which consists of certain expenses, such as payroll, professional fees, travel expenses, and other general and administrative expenses that do not directly relate to a reportable segment or have not otherwise been allocated. Corporate overhead was $30.4 million and $34.0 million for the three months ended September 30, 2026 and 2025, respectively, and $88.1 million and $108.7 million for the nine months ended September 30, 2026 and 2025, respectively. Corporate overhead for the three and nine months ended September 30, 2025 included $3.9 million and $21.0 million, respectively, of legal and advisory costs related to activist activity in connection with our 2025 annual meeting of shareholders.</w:t>
      </w:r>
    </w:p>
    <w:p>
      <w:pPr>
        <w:spacing w:after="0" w:line="24"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Primarily represents the elimination of intersegment revenues associated with our retail sportsbooks, which are operated by PENN Interactive.</w:t>
      </w:r>
    </w:p>
    <w:p>
      <w:pPr>
        <w:spacing w:after="0" w:line="55"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definition of Segment Adjusted EBITDAR within the “Reportable Segment Measures” section below.</w:t>
      </w:r>
    </w:p>
    <w:p>
      <w:pPr>
        <w:spacing w:after="0" w:line="68"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definition of Consolidated Adjusted EBITDA within the “Non-GAAP Financial Measures” section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PENN ENTERTAINMENT,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Net Income (Loss) to Consolidated Adjusted EBITDA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For the three months ended</w:t>
            </w:r>
          </w:p>
        </w:tc>
        <w:tc>
          <w:tcPr>
            <w:tcW w:w="160" w:type="dxa"/>
            <w:vAlign w:val="bottom"/>
          </w:tcPr>
          <w:p>
            <w:pPr>
              <w:spacing w:after="0"/>
              <w:rPr>
                <w:sz w:val="17"/>
                <w:szCs w:val="17"/>
                <w:color w:val="auto"/>
              </w:rPr>
            </w:pPr>
          </w:p>
        </w:tc>
        <w:tc>
          <w:tcPr>
            <w:tcW w:w="26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For the nine months ended</w:t>
            </w:r>
          </w:p>
        </w:tc>
      </w:tr>
      <w:tr>
        <w:trPr>
          <w:trHeight w:val="243"/>
        </w:trPr>
        <w:tc>
          <w:tcPr>
            <w:tcW w:w="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21"/>
                <w:szCs w:val="21"/>
                <w:color w:val="auto"/>
              </w:rPr>
            </w:pPr>
          </w:p>
        </w:tc>
        <w:tc>
          <w:tcPr>
            <w:tcW w:w="26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183"/>
        </w:trPr>
        <w:tc>
          <w:tcPr>
            <w:tcW w:w="20" w:type="dxa"/>
            <w:vAlign w:val="bottom"/>
          </w:tcPr>
          <w:p>
            <w:pPr>
              <w:spacing w:after="0"/>
              <w:rPr>
                <w:sz w:val="15"/>
                <w:szCs w:val="15"/>
                <w:color w:val="auto"/>
              </w:rPr>
            </w:pPr>
          </w:p>
        </w:tc>
        <w:tc>
          <w:tcPr>
            <w:tcW w:w="560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(771.9)</w:t>
            </w:r>
          </w:p>
        </w:tc>
      </w:tr>
      <w:tr>
        <w:trPr>
          <w:trHeight w:val="229"/>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59.4</w:t>
            </w: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303.9</w:t>
            </w:r>
          </w:p>
        </w:tc>
      </w:tr>
      <w:tr>
        <w:trPr>
          <w:trHeight w:val="229"/>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Gain on financing arrangement</w:t>
            </w: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(215.1)</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r>
      <w:tr>
        <w:trPr>
          <w:trHeight w:val="230"/>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 expenses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r>
      <w:tr>
        <w:trPr>
          <w:trHeight w:val="223"/>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(656.1)</w:t>
            </w:r>
          </w:p>
        </w:tc>
      </w:tr>
      <w:tr>
        <w:trPr>
          <w:trHeight w:val="229"/>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48.5</w:t>
            </w: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Cash-settled stock-based awards variance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r>
      <w:tr>
        <w:trPr>
          <w:trHeight w:val="229"/>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Pre-opening expenses</w:t>
            </w:r>
          </w:p>
        </w:tc>
        <w:tc>
          <w:tcPr>
            <w:tcW w:w="1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14.5</w:t>
            </w:r>
          </w:p>
        </w:tc>
      </w:tr>
      <w:tr>
        <w:trPr>
          <w:trHeight w:val="230"/>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332.7</w:t>
            </w:r>
          </w:p>
        </w:tc>
      </w:tr>
      <w:tr>
        <w:trPr>
          <w:trHeight w:val="229"/>
        </w:trPr>
        <w:tc>
          <w:tcPr>
            <w:tcW w:w="20" w:type="dxa"/>
            <w:vAlign w:val="bottom"/>
          </w:tcPr>
          <w:p>
            <w:pPr>
              <w:spacing w:after="0"/>
              <w:rPr>
                <w:sz w:val="19"/>
                <w:szCs w:val="19"/>
                <w:color w:val="auto"/>
              </w:rPr>
            </w:pPr>
          </w:p>
        </w:tc>
        <w:tc>
          <w:tcPr>
            <w:tcW w:w="5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Impairment losses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840.0</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Non-operating items of equity method investments </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(4)</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Consolidated 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862.4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604.3</w:t>
            </w:r>
          </w:p>
        </w:tc>
      </w:tr>
      <w:tr>
        <w:trPr>
          <w:trHeight w:val="21"/>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left="660" w:hanging="328"/>
        <w:spacing w:after="0" w:line="284" w:lineRule="auto"/>
        <w:tabs>
          <w:tab w:leader="none" w:pos="647"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spacing w:after="0" w:line="185" w:lineRule="exact"/>
        <w:rPr>
          <w:rFonts w:ascii="Arial" w:cs="Arial" w:eastAsia="Arial" w:hAnsi="Arial"/>
          <w:sz w:val="14"/>
          <w:szCs w:val="14"/>
          <w:color w:val="auto"/>
        </w:rPr>
      </w:pPr>
    </w:p>
    <w:p>
      <w:pPr>
        <w:jc w:val="both"/>
        <w:ind w:left="660" w:hanging="328"/>
        <w:spacing w:after="0" w:line="283" w:lineRule="auto"/>
        <w:tabs>
          <w:tab w:leader="none" w:pos="647"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2026, impairment charges included $8.0 million in the South segment. For the three months ended September 30, 2025, impairment charges included $825.0 million in the Interactive segment. The nine months ended September 30, 2025 also included impairment charges of $15.0 million in the Midwest segment.</w:t>
      </w:r>
    </w:p>
    <w:p>
      <w:pPr>
        <w:spacing w:after="0" w:line="10" w:lineRule="exact"/>
        <w:rPr>
          <w:rFonts w:ascii="Arial" w:cs="Arial" w:eastAsia="Arial" w:hAnsi="Arial"/>
          <w:sz w:val="14"/>
          <w:szCs w:val="14"/>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primarily of depreciation expense associated with our Kansas Entertainment joint venture.</w:t>
      </w:r>
    </w:p>
    <w:p>
      <w:pPr>
        <w:spacing w:after="0" w:line="55" w:lineRule="exact"/>
        <w:rPr>
          <w:rFonts w:ascii="Arial" w:cs="Arial" w:eastAsia="Arial" w:hAnsi="Arial"/>
          <w:sz w:val="14"/>
          <w:szCs w:val="14"/>
          <w:color w:val="auto"/>
        </w:rPr>
      </w:pPr>
    </w:p>
    <w:p>
      <w:pPr>
        <w:jc w:val="both"/>
        <w:ind w:left="660" w:hanging="328"/>
        <w:spacing w:after="0" w:line="283" w:lineRule="auto"/>
        <w:tabs>
          <w:tab w:leader="none" w:pos="647"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nine months ended September 30, 2026, other primarily consisted of transaction costs, non-recurring restructuring charges, primarily severance, related to the Company’s new corporate organizational structure, and settlement costs and related legal and advisory fees associated with the Cooperation Agreement with HG Vora Capital Management, LLC and related parties.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PENN ENTERTAINMENT,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For the three months ended</w:t>
            </w:r>
          </w:p>
        </w:tc>
        <w:tc>
          <w:tcPr>
            <w:tcW w:w="160" w:type="dxa"/>
            <w:vAlign w:val="bottom"/>
          </w:tcPr>
          <w:p>
            <w:pPr>
              <w:spacing w:after="0"/>
              <w:rPr>
                <w:sz w:val="17"/>
                <w:szCs w:val="17"/>
                <w:color w:val="auto"/>
              </w:rPr>
            </w:pPr>
          </w:p>
        </w:tc>
        <w:tc>
          <w:tcPr>
            <w:tcW w:w="25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For the nine months ended</w:t>
            </w:r>
          </w:p>
        </w:tc>
      </w:tr>
      <w:tr>
        <w:trPr>
          <w:trHeight w:val="235"/>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20"/>
                <w:szCs w:val="20"/>
                <w:color w:val="auto"/>
              </w:rPr>
            </w:pPr>
          </w:p>
        </w:tc>
        <w:tc>
          <w:tcPr>
            <w:tcW w:w="25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183"/>
        </w:trPr>
        <w:tc>
          <w:tcPr>
            <w:tcW w:w="20" w:type="dxa"/>
            <w:vAlign w:val="bottom"/>
          </w:tcPr>
          <w:p>
            <w:pPr>
              <w:spacing w:after="0"/>
              <w:rPr>
                <w:sz w:val="15"/>
                <w:szCs w:val="15"/>
                <w:color w:val="auto"/>
              </w:rPr>
            </w:pPr>
          </w:p>
        </w:tc>
        <w:tc>
          <w:tcPr>
            <w:tcW w:w="564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except per share data, unaudited)</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54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4,102.1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3,991.2</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w:t>
            </w:r>
          </w:p>
        </w:tc>
      </w:tr>
      <w:tr>
        <w:trPr>
          <w:trHeight w:val="223"/>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5,154.8</w:t>
            </w:r>
          </w:p>
        </w:tc>
      </w:tr>
      <w:tr>
        <w:trPr>
          <w:trHeight w:val="210"/>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2,575.9</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1,231.2</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r>
      <w:tr>
        <w:trPr>
          <w:trHeight w:val="23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Impairment losses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840.0</w:t>
            </w: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5,810.9</w:t>
            </w: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(656.1)</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(303.9)</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financing arrangement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other expenses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r>
      <w:tr>
        <w:trPr>
          <w:trHeight w:val="23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r>
      <w:tr>
        <w:trPr>
          <w:trHeight w:val="230"/>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PENN Entertainment,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ind w:left="220"/>
              <w:spacing w:after="0"/>
              <w:rPr>
                <w:sz w:val="20"/>
                <w:szCs w:val="20"/>
                <w:color w:val="auto"/>
              </w:rPr>
            </w:pPr>
            <w:r>
              <w:rPr>
                <w:rFonts w:ascii="Arial" w:cs="Arial" w:eastAsia="Arial" w:hAnsi="Arial"/>
                <w:sz w:val="18"/>
                <w:szCs w:val="18"/>
                <w:color w:val="auto"/>
              </w:rPr>
              <w:t>Basic earnings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70"/>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39"/>
        </w:trPr>
        <w:tc>
          <w:tcPr>
            <w:tcW w:w="2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outstanding—diluted</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148.2</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Selected Financial Information and GAAP to Non-GAAP Reconciliations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December 31, 2025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millions, unaudited)</w:t>
            </w:r>
          </w:p>
        </w:tc>
        <w:tc>
          <w:tcPr>
            <w:tcW w:w="180" w:type="dxa"/>
            <w:vAlign w:val="bottom"/>
          </w:tcPr>
          <w:p>
            <w:pPr>
              <w:spacing w:after="0"/>
              <w:rPr>
                <w:sz w:val="16"/>
                <w:szCs w:val="16"/>
                <w:color w:val="auto"/>
              </w:rPr>
            </w:pPr>
          </w:p>
        </w:tc>
        <w:tc>
          <w:tcPr>
            <w:tcW w:w="1480" w:type="dxa"/>
            <w:vAlign w:val="bottom"/>
          </w:tcPr>
          <w:p>
            <w:pPr>
              <w:jc w:val="right"/>
              <w:ind w:right="530"/>
              <w:spacing w:after="0" w:line="195" w:lineRule="exact"/>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traditional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Traditional net debt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Revolving Credit Facility due 2031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Amended Term Loan A Facility due 2031</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Term Loan B Facility due 2033</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Amended Revolving Credit Facility due 2027</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Term Loan A Facility due 2027</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Amended Term Loan B Facility due 2029</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5.625% Notes due 2027</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4.125% Notes due 2029</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6.75% Notes due 2031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2.75% Convertible Notes due 2026</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Total traditional debt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2,806.6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discounts and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2,768.3</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2,887.1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Total traditional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2,806.6</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2,904.1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Cash rent payments to REIT landlords </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0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Consolidated Adjusted EBITDA </w:t>
            </w:r>
            <w:r>
              <w:rPr>
                <w:rFonts w:ascii="Arial" w:cs="Arial" w:eastAsia="Arial" w:hAnsi="Arial"/>
                <w:sz w:val="23"/>
                <w:szCs w:val="23"/>
                <w:color w:val="auto"/>
                <w:vertAlign w:val="superscript"/>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Rent expense associated with triple net operating leases </w:t>
            </w:r>
            <w:r>
              <w:rPr>
                <w:rFonts w:ascii="Arial" w:cs="Arial" w:eastAsia="Arial" w:hAnsi="Arial"/>
                <w:sz w:val="23"/>
                <w:szCs w:val="23"/>
                <w:color w:val="auto"/>
                <w:vertAlign w:val="superscript"/>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6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Lease-adjusted net leverage ratio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580" w:type="dxa"/>
            <w:vAlign w:val="bottom"/>
            <w:gridSpan w:val="2"/>
          </w:tcPr>
          <w:p>
            <w:pPr>
              <w:ind w:left="1120"/>
              <w:spacing w:after="0"/>
              <w:rPr>
                <w:sz w:val="20"/>
                <w:szCs w:val="20"/>
                <w:color w:val="auto"/>
              </w:rPr>
            </w:pPr>
            <w:r>
              <w:rPr>
                <w:rFonts w:ascii="Arial" w:cs="Arial" w:eastAsia="Arial" w:hAnsi="Arial"/>
                <w:sz w:val="18"/>
                <w:szCs w:val="18"/>
                <w:color w:val="auto"/>
              </w:rPr>
              <w:t>5.6x</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6.8x</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Traditional net leverage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2.3x</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4.5x</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hanging="328"/>
        <w:spacing w:after="0" w:line="28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“Non-GAAP Financial Measures” section below for more information as well as the definitions of Traditional net debt, Lease-adjusted net leverage ratio, and Traditional net leverage.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 equals 8 times the total cash rent payments to REIT landlords for the trailing twelve months.</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Balance is presented on a trailing twelve months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61"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Cash Flow Data</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certain cash expenditures incurred by the Company.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For the three months ended</w:t>
            </w:r>
          </w:p>
        </w:tc>
        <w:tc>
          <w:tcPr>
            <w:tcW w:w="160" w:type="dxa"/>
            <w:vAlign w:val="bottom"/>
          </w:tcPr>
          <w:p>
            <w:pPr>
              <w:spacing w:after="0"/>
              <w:rPr>
                <w:sz w:val="17"/>
                <w:szCs w:val="17"/>
                <w:color w:val="auto"/>
              </w:rPr>
            </w:pPr>
          </w:p>
        </w:tc>
        <w:tc>
          <w:tcPr>
            <w:tcW w:w="25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For the nine months ended</w:t>
            </w:r>
          </w:p>
        </w:tc>
      </w:tr>
      <w:tr>
        <w:trPr>
          <w:trHeight w:val="235"/>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20"/>
                <w:szCs w:val="20"/>
                <w:color w:val="auto"/>
              </w:rPr>
            </w:pPr>
          </w:p>
        </w:tc>
        <w:tc>
          <w:tcPr>
            <w:tcW w:w="25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183"/>
        </w:trPr>
        <w:tc>
          <w:tcPr>
            <w:tcW w:w="20" w:type="dxa"/>
            <w:vAlign w:val="bottom"/>
          </w:tcPr>
          <w:p>
            <w:pPr>
              <w:spacing w:after="0"/>
              <w:rPr>
                <w:sz w:val="15"/>
                <w:szCs w:val="15"/>
                <w:color w:val="auto"/>
              </w:rPr>
            </w:pPr>
          </w:p>
        </w:tc>
        <w:tc>
          <w:tcPr>
            <w:tcW w:w="564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 to our REIT Landlords under Triple Net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Cash payments (refunds) related to income taxes,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 on traditional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39"/>
        </w:trPr>
        <w:tc>
          <w:tcPr>
            <w:tcW w:w="2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457.3</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 Measures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Segment Adjusted EBITDAR is our measure of profit or loss for our reportable segments and underlying operating segments. We define Segment Adjusted EBITDAR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excludes rent expense associated with triple net operating leases (which is a normal, recurring cash operating expense necessary to operate our business). Segment Adjusted EBITDAR is inclusive of income or loss from unconsolidated affiliates, with our share of non-operating items (such as interest expense, net, and depreciation and amortization) added back for our Kansas Entertainment, LLC joint venture. Segment Adjusted EBITDAR margin is Segment Adjusted EBITDAR divided by related segment revenues.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Non-GAAP Financial Measures used in this press release include Consolidated Adjusted EBITDA, Adjusted EPS, Traditional net debt, Traditional net leverage ratio, and Lease-adjusted net leverage ratio. These non-GAAP financial measures should not be considered a substitute for, nor superior to, financial results and measures determined or calculated in accordance with GAAP.</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We define Consolidated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Consolidated Adjusted EBITDA is inclusive of income or loss from unconsolidated affiliates, with our share of non-operating items (such as interest expense, net, and depreciation and amortization) added back for our Kansas Entertainment, LLC joint venture. Consolidated Adjusted EBITDA is inclusive of rent expense associated with our triple net operating leases with our REIT landlords. Although Consolidated Adjusted EBITDA includes rent expense associated with our triple net operating leases, we believe Consolidated Adjusted EBITDA is useful as a supplemental measure in evaluating the performance of our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61" w:right="3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20"/>
          <w:szCs w:val="20"/>
          <w:color w:val="auto"/>
        </w:rPr>
        <w:t>Consolidated 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Consolidated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Consolidated Adjusted EBITDA calculations certain corporate expenses that do not relate to the management of specific casino properties. However, Consolidated Adjusted EBITDA is not a measure of performance or liquidity calculated in accordance with GAAP. Consolidated Adjusted EBITDA information is presented as a supplemental disclosure, as management believes that it is a commonly used measure of performance in the gaming industry and that it is considered by many to be a key indicator of the Company’s operating results.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Adjusted EPS is diluted earnings or loss per share adjusted to exclude gains/losses on the disposal of a business, non-cash gains/losses associated with REIT transactions, impairment losses, pre-opening expenses, debt extinguishment charges, gains/losses on the disposal of assets, foreign currency gains/losses, transaction related expenses, business interruption insurance proceeds, net gains/losses related to equity investments, and other.</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Adjusted EPS is a non-GAAP measure and is presented solely as a supplemental disclosure to reported GAAP measures because management believes this measure is useful in providing period-to-period comparisons of the results of the Company’s operations to assist investors in reviewing the Company’s operating performance over time. Management believes it is useful to exclude certain items when comparing current performance to prior periods because these items can vary significantly depending on specific underlying transactions or events. Further, management believes certain excluded items may not relate specifically to current operating trends or be indicative of future results. Adjusted EPS should not be construed as an alternative to GAAP earnings per share as an indicator of the Company’s performance.</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calculate Traditional net debt as Total traditional debt, which is the principal amount of debt outstanding less Cash and cash equivalents. Management believes that Traditional net debt is an important measure to monitor leverage and evaluate the balance sheet. With respect to Traditional net debt, Cash and cash equivalents are subtracted from the GAAP measure because they could be used to reduce the Company’s debt obligations. A limitation associated with using Traditional net debt is that it subtracts Cash and cash equivalents and therefore may imply that there is less Company debt than the most comparable GAAP measure indicates. Management believes that investors may find it useful to monitor leverage and evaluate the balance sheet.</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Company’s Traditional net leverage ratio is defined as Traditional net debt (as defined above) divided by (i) Consolidated Adjusted EBITDA (as defined above) for the trailing twelve months plus (ii) rent expense associated with triple net operating leases for the trailing twelve months less (iii) cash rent payments to REIT landlords for the trailing twelve months. Management believes this measure is useful as a supplemental measure and provides an indication of the results generated by the Company in relation to its level of indebtedness with the cash generated from Company operations.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63"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20"/>
          <w:szCs w:val="20"/>
          <w:color w:val="auto"/>
        </w:rPr>
        <w:t>The Company’s Lease-adjusted net leverage ratio’s numerator is calculated as cash rent payments to REIT landlords for the trailing twelve months capitalized at 8 times plus Traditional net debt (as defined above). The Company’s Lease-adjusted net leverage ratio’s denominator is Consolidated Adjusted EBITDA (as defined above) for the trailing twelve months plus rent expense associated with triple net operating leases for the trailing twelve months. Management believes this measure is useful as a supplemental measure and provides an indication of the results generated by the Company in relation to its level of indebtedness (including leases) with the cash generated from Company operations.</w:t>
      </w:r>
    </w:p>
    <w:p>
      <w:pPr>
        <w:spacing w:after="0" w:line="146"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Each of these non-GAAP financial measures is not calculated in the same manner by all companies and, accordingly, may not be an appropriate measure of comparing performance among different companies. See the tables above, which present reconciliations of these measures to the GAAP equivalent financial measures.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Presentation, Conference Call, Webcast and Replay Details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PENN is hosting a conference call and simultaneous webcast at 9:00 a.m. E.T. today, both of which are open to the general public. During the call, management will review a presentation regarding the quarter and recent developments that can be accessed at </w:t>
      </w:r>
      <w:r>
        <w:rPr>
          <w:rFonts w:ascii="Arial" w:cs="Arial" w:eastAsia="Arial" w:hAnsi="Arial"/>
          <w:sz w:val="20"/>
          <w:szCs w:val="20"/>
          <w:i w:val="1"/>
          <w:iCs w:val="1"/>
          <w:color w:val="auto"/>
        </w:rPr>
        <w:t>http://investors.pennentertainment.com/events-and-presentations/presentations</w:t>
      </w:r>
      <w:r>
        <w:rPr>
          <w:rFonts w:ascii="Arial" w:cs="Arial" w:eastAsia="Arial" w:hAnsi="Arial"/>
          <w:sz w:val="20"/>
          <w:szCs w:val="20"/>
          <w:color w:val="auto"/>
        </w:rPr>
        <w: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The conference call number is 203-518-9757 (conference ID: PENN); please call five minutes in advance to ensure that you are connected prior to the presentation. Interested parties may also access the live call at </w:t>
      </w:r>
      <w:r>
        <w:rPr>
          <w:rFonts w:ascii="Arial" w:cs="Arial" w:eastAsia="Arial" w:hAnsi="Arial"/>
          <w:sz w:val="20"/>
          <w:szCs w:val="20"/>
          <w:i w:val="1"/>
          <w:iCs w:val="1"/>
          <w:color w:val="auto"/>
        </w:rPr>
        <w:t>www.pennentertainment.com</w:t>
      </w:r>
      <w:r>
        <w:rPr>
          <w:rFonts w:ascii="Arial" w:cs="Arial" w:eastAsia="Arial" w:hAnsi="Arial"/>
          <w:sz w:val="20"/>
          <w:szCs w:val="20"/>
          <w:color w:val="auto"/>
        </w:rPr>
        <w:t xml:space="preserve">; allow 15 minutes to register, download, and install any necessary software. Questions and answers will be reserved for call-in analysts and investors. A replay of the call can be accessed for thirty days at </w:t>
      </w:r>
      <w:r>
        <w:rPr>
          <w:rFonts w:ascii="Arial" w:cs="Arial" w:eastAsia="Arial" w:hAnsi="Arial"/>
          <w:sz w:val="20"/>
          <w:szCs w:val="20"/>
          <w:i w:val="1"/>
          <w:iCs w:val="1"/>
          <w:color w:val="auto"/>
        </w:rPr>
        <w:t>http://www.pennentertainment.com</w:t>
      </w:r>
      <w:r>
        <w:rPr>
          <w:rFonts w:ascii="Arial" w:cs="Arial" w:eastAsia="Arial" w:hAnsi="Arial"/>
          <w:sz w:val="20"/>
          <w:szCs w:val="20"/>
          <w:color w:val="auto"/>
        </w:rPr>
        <w:t>.</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This press release, which includes financial information to be discussed by management during the conference call and disclosure and reconciliation of non-GAAP financial measures, is available on the Company’s web site, </w:t>
      </w:r>
      <w:r>
        <w:rPr>
          <w:rFonts w:ascii="Arial" w:cs="Arial" w:eastAsia="Arial" w:hAnsi="Arial"/>
          <w:sz w:val="20"/>
          <w:szCs w:val="20"/>
          <w:i w:val="1"/>
          <w:iCs w:val="1"/>
          <w:color w:val="auto"/>
        </w:rPr>
        <w:t xml:space="preserve">http://www.pennentertainment.com/corp/investors </w:t>
      </w:r>
      <w:r>
        <w:rPr>
          <w:rFonts w:ascii="Arial" w:cs="Arial" w:eastAsia="Arial" w:hAnsi="Arial"/>
          <w:sz w:val="20"/>
          <w:szCs w:val="20"/>
          <w:color w:val="auto"/>
        </w:rPr>
        <w:t>(select link for “Press Releases”).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PENN Entertainment, Inc.</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PENN Entertainment, Inc., together with its subsidiaries (“PENN,” or the “Company,” “we,” “our,” or “us”), operates in 28 jurisdictions throughout North America, with a broadly diversified portfolio of casinos, racetracks, and online sports betting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 customer loyalty program, offering its over 34 million members a unique set of rewards and experiences.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These statements can be identified by the use of forward-looking terminology such as “expects,” “believes,” “estimates,” “projects,” “intends,” “plans,” “goal,” “seeks,” “on track,” “may,” “will,” “should,” “look forward to,” or “anticipates” or the negative or other variations of these or similar words, or by discussions of future events, strategies or risks and uncertainties.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Specifically, forward-looking statements include, but are not limited to, statements regarding: the Company’s expectations of future results of operations and financial condition, including, but not limited to, projections of revenue, Segment Adjusted EBITDAR, Consolidated Adjusted EBITDA, and other financial measures; the assumptions provided regarding the guidance, including the anticipated benefits and timing of the Company’s development projects, other expected internal drivers and external tailwinds; the Company’s expectations regarding cash flow generation and near-term deleveraging; the Company’s expectations regarding results and customer growth and the impact of competition in retail/mobile/online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63" w:right="3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9"/>
          <w:szCs w:val="19"/>
          <w:color w:val="auto"/>
        </w:rPr>
        <w:t>sportsbooks (including prediction markets), iCasino, social gaming, and retail operations; the Company’s development and launch of its Interactive segment’s products in new jurisdictions and enhancements to existing Interactive segment products; the future success of theScore Bet, theScore Casino, Hollywood iCasino and its other digital offerings; the Company’s expectations with respect to share repurchases;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 rates, economic downturns, changes in trade policies, and geopolitical and regulatory uncertainty; competition with other retail and online gaming and sports betting, entertainment and sports content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anticipated capital expenditures or pay off or refinance our indebtedness prior to maturity; the impact of indemnification obligations under the Barstool SPA; our ability to realize the anticipated benefits of our digital and omni-channel strategies; our ability to attract and retain user adoption of theScore Bet, theScore Casino, and Hollywood iCasino apps in a rapidly evolving and highly competitive market; the outcome of any legal proceedings that may be instituted against the Company, or its respective directors, officers or employees; the ability of the Company to retain and hire key personnel; the impact of new or changes in current laws, regulations, rules or other industry standards; adverse outcomes of litigation involving the Company; our ability to maintain our gaming licenses and concessions and comply with applicable gaming law, changes in current laws, regulations, rules or other industry standards, and additional factors described in the Company’s Annual Report on Form 10-K for the year ended December 31, 2025,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press release may not occur.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Aaron Aita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Finance</w:t>
      </w:r>
    </w:p>
    <w:p>
      <w:pPr>
        <w:spacing w:after="0"/>
        <w:rPr>
          <w:sz w:val="20"/>
          <w:szCs w:val="20"/>
          <w:color w:val="auto"/>
        </w:rPr>
      </w:pPr>
      <w:r>
        <w:rPr>
          <w:rFonts w:ascii="Arial" w:cs="Arial" w:eastAsia="Arial" w:hAnsi="Arial"/>
          <w:sz w:val="20"/>
          <w:szCs w:val="20"/>
          <w:color w:val="auto"/>
        </w:rPr>
        <w:t>PENN Entertainment,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Aaron.Aita@pennentertainment.com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Joseph N. Jaffoni</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JCIR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212-835-8500 or penn@jcir.com</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10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2026-11-05T06:02:39Z</dcterms:created>
  <dcterms:modified xsi:type="dcterms:W3CDTF">2026-11-05T06:02:39Z</dcterms:modified>
</cp:coreProperties>
</file>