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16470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285750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2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3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PROXY STATEMENT PURSUANT TO SECTION 14(a) OF THE SECURITIES</w:t>
      </w:r>
    </w:p>
    <w:p>
      <w:pPr>
        <w:spacing w:after="0" w:line="1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EXCHANGE ACT OF 1934</w:t>
      </w:r>
    </w:p>
    <w:p>
      <w:pPr>
        <w:spacing w:after="0" w:line="12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1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8"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4"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ind w:left="260" w:hanging="257"/>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4" w:lineRule="exact"/>
        <w:rPr>
          <w:sz w:val="24"/>
          <w:szCs w:val="24"/>
          <w:color w:val="auto"/>
        </w:rPr>
      </w:pPr>
    </w:p>
    <w:p>
      <w:pPr>
        <w:ind w:left="260" w:hanging="257"/>
        <w:spacing w:after="0"/>
        <w:tabs>
          <w:tab w:leader="none" w:pos="2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Rule 14a-12</w:t>
      </w:r>
    </w:p>
    <w:p>
      <w:pPr>
        <w:spacing w:after="0" w:line="172"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9"/>
          <w:szCs w:val="19"/>
          <w:b w:val="1"/>
          <w:bCs w:val="1"/>
          <w:color w:val="auto"/>
        </w:rPr>
        <w:t>PENN ENTERTAINMENT,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1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215265</wp:posOffset>
            </wp:positionV>
            <wp:extent cx="716470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23"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70" w:lineRule="exact"/>
        <w:rPr>
          <w:sz w:val="24"/>
          <w:szCs w:val="24"/>
          <w:color w:val="auto"/>
        </w:rPr>
      </w:pPr>
    </w:p>
    <w:p>
      <w:pPr>
        <w:ind w:left="260" w:hanging="257"/>
        <w:spacing w:after="0"/>
        <w:tabs>
          <w:tab w:leader="none" w:pos="26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3" w:lineRule="exact"/>
        <w:rPr>
          <w:sz w:val="24"/>
          <w:szCs w:val="24"/>
          <w:color w:val="auto"/>
        </w:rPr>
      </w:pPr>
    </w:p>
    <w:p>
      <w:pPr>
        <w:ind w:left="260" w:hanging="257"/>
        <w:spacing w:after="0"/>
        <w:tabs>
          <w:tab w:leader="none" w:pos="26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9" w:lineRule="exact"/>
        <w:rPr>
          <w:rFonts w:ascii="MS PGothic" w:cs="MS PGothic" w:eastAsia="MS PGothic" w:hAnsi="MS PGothic"/>
          <w:sz w:val="14"/>
          <w:szCs w:val="14"/>
          <w:color w:val="auto"/>
        </w:rPr>
      </w:pPr>
    </w:p>
    <w:p>
      <w:pPr>
        <w:ind w:left="260" w:hanging="257"/>
        <w:spacing w:after="0"/>
        <w:tabs>
          <w:tab w:leader="none" w:pos="26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716470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467995</wp:posOffset>
            </wp:positionV>
            <wp:extent cx="71647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621" w:right="1440" w:bottom="1440" w:gutter="0" w:footer="0" w:header="0"/>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4"/>
          <w:szCs w:val="14"/>
          <w:color w:val="auto"/>
        </w:rPr>
        <w:t>On May 27, 2025, PENN Entertainment, Inc. (the “Company”) issued the following addendum to the fact sheet that it issued on May 15, 2025 and press release containing a letter to shareholders from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314325</wp:posOffset>
            </wp:positionV>
            <wp:extent cx="71647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20"/>
          </w:cols>
          <w:pgMar w:left="300" w:top="726"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212121"/>
        </w:rPr>
        <w:t>PENN Entertainment Files Addendum to Fact Sheet to Correct HG Vora Misstatements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WYOMISSING, Pa. – May 27, 2025 – PENN Entertainment, Inc. (Nasdaq: PENN) (“PENN” or the “Company”) today issued the following letter to shareholders.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full text of the letter follows: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Dear Fellow Shareholder,</w:t>
      </w:r>
    </w:p>
    <w:p>
      <w:pPr>
        <w:spacing w:after="0" w:line="170" w:lineRule="exact"/>
        <w:rPr>
          <w:sz w:val="20"/>
          <w:szCs w:val="20"/>
          <w:color w:val="auto"/>
        </w:rPr>
      </w:pPr>
    </w:p>
    <w:p>
      <w:pPr>
        <w:ind w:left="500" w:right="60"/>
        <w:spacing w:after="0" w:line="272" w:lineRule="auto"/>
        <w:rPr>
          <w:sz w:val="20"/>
          <w:szCs w:val="20"/>
          <w:color w:val="auto"/>
        </w:rPr>
      </w:pPr>
      <w:r>
        <w:rPr>
          <w:rFonts w:ascii="Times New Roman" w:cs="Times New Roman" w:eastAsia="Times New Roman" w:hAnsi="Times New Roman"/>
          <w:sz w:val="14"/>
          <w:szCs w:val="14"/>
          <w:color w:val="auto"/>
        </w:rPr>
        <w:t>On May 19, 2025, we informed you that PENN would not be expending resources to solicit proxies for the PENN White Card over the HG Vora Gold Card as both HG Vora and the Company are recommending the same directors for the two open positions at this year’s Annual Meeting.</w:t>
      </w:r>
    </w:p>
    <w:p>
      <w:pPr>
        <w:spacing w:after="0" w:line="131" w:lineRule="exact"/>
        <w:rPr>
          <w:sz w:val="20"/>
          <w:szCs w:val="20"/>
          <w:color w:val="auto"/>
        </w:rPr>
      </w:pPr>
    </w:p>
    <w:p>
      <w:pPr>
        <w:ind w:left="500" w:right="360"/>
        <w:spacing w:after="0" w:line="259" w:lineRule="auto"/>
        <w:rPr>
          <w:sz w:val="20"/>
          <w:szCs w:val="20"/>
          <w:color w:val="auto"/>
        </w:rPr>
      </w:pPr>
      <w:r>
        <w:rPr>
          <w:rFonts w:ascii="Times New Roman" w:cs="Times New Roman" w:eastAsia="Times New Roman" w:hAnsi="Times New Roman"/>
          <w:sz w:val="14"/>
          <w:szCs w:val="14"/>
          <w:color w:val="auto"/>
        </w:rPr>
        <w:t>While we attempted to reach a settlement with HG Vora in good faith, HG Vora rejected all of our proposals and insisted on imposing other conditions that violated directives from a gaming regulator and, therefore were not demands with which we could comply. Notwithstanding this impasse, HG Vora was successful in achieving changes to PENN’s Board composition, and, following our 2025 Annual Meeting, HG Vora nominees will represent 25% of the continuing Board.</w:t>
      </w:r>
    </w:p>
    <w:p>
      <w:pPr>
        <w:spacing w:after="0" w:line="140" w:lineRule="exact"/>
        <w:rPr>
          <w:sz w:val="20"/>
          <w:szCs w:val="20"/>
          <w:color w:val="auto"/>
        </w:rPr>
      </w:pPr>
    </w:p>
    <w:p>
      <w:pPr>
        <w:ind w:left="500" w:right="240"/>
        <w:spacing w:after="0" w:line="272" w:lineRule="auto"/>
        <w:rPr>
          <w:sz w:val="20"/>
          <w:szCs w:val="20"/>
          <w:color w:val="auto"/>
        </w:rPr>
      </w:pPr>
      <w:r>
        <w:rPr>
          <w:rFonts w:ascii="Times New Roman" w:cs="Times New Roman" w:eastAsia="Times New Roman" w:hAnsi="Times New Roman"/>
          <w:sz w:val="14"/>
          <w:szCs w:val="14"/>
          <w:color w:val="auto"/>
        </w:rPr>
        <w:t>Nevertheless, last week, HG Vora issued a 116-page investor presentation full of false claims and mischaracterizations about the Company. Today we issued an addendum to our May 15, 2025 Fact Sheet to set the record straight on these false mischaracterizations.</w:t>
      </w:r>
    </w:p>
    <w:p>
      <w:pPr>
        <w:spacing w:after="0" w:line="131" w:lineRule="exact"/>
        <w:rPr>
          <w:sz w:val="20"/>
          <w:szCs w:val="20"/>
          <w:color w:val="auto"/>
        </w:rPr>
      </w:pPr>
    </w:p>
    <w:p>
      <w:pPr>
        <w:ind w:left="500" w:right="60"/>
        <w:spacing w:after="0" w:line="255" w:lineRule="auto"/>
        <w:rPr>
          <w:sz w:val="20"/>
          <w:szCs w:val="20"/>
          <w:color w:val="auto"/>
        </w:rPr>
      </w:pPr>
      <w:r>
        <w:rPr>
          <w:rFonts w:ascii="Times New Roman" w:cs="Times New Roman" w:eastAsia="Times New Roman" w:hAnsi="Times New Roman"/>
          <w:sz w:val="14"/>
          <w:szCs w:val="14"/>
          <w:color w:val="auto"/>
        </w:rPr>
        <w:t>PENN’s gaming licenses are our most valuable assets – we understand and take our regulatory obligations seriously and, over our 30-year history in the industry, PENN has earned a reputation of trust with our regulators and the communities in which we operate. HG Vora, on the other hand, has consistently disregarded the gaming regulatory regime in its pursuit to exercise control and influence over PENN without all necessary licenses. Rather than operate within the well-established gaming regulatory framework, HG Vora has chosen to test boundaries and blame-shift, even concluding that we “[r]epeatedly sought to weaponize the Company’s regulators.</w:t>
      </w:r>
    </w:p>
    <w:p>
      <w:pPr>
        <w:spacing w:after="0" w:line="142" w:lineRule="exact"/>
        <w:rPr>
          <w:sz w:val="20"/>
          <w:szCs w:val="20"/>
          <w:color w:val="auto"/>
        </w:rPr>
      </w:pPr>
    </w:p>
    <w:p>
      <w:pPr>
        <w:jc w:val="both"/>
        <w:ind w:left="500" w:right="20"/>
        <w:spacing w:after="0" w:line="259" w:lineRule="auto"/>
        <w:rPr>
          <w:sz w:val="20"/>
          <w:szCs w:val="20"/>
          <w:color w:val="auto"/>
        </w:rPr>
      </w:pPr>
      <w:r>
        <w:rPr>
          <w:rFonts w:ascii="Times New Roman" w:cs="Times New Roman" w:eastAsia="Times New Roman" w:hAnsi="Times New Roman"/>
          <w:sz w:val="14"/>
          <w:szCs w:val="14"/>
          <w:color w:val="auto"/>
        </w:rPr>
        <w:t>That same disregard is evident in HG Vora’s campaign of misstatements and insinuations about the Company’s Board and management team. We understand that claims of management enriching themselves with excessive compensation, personal use of corporate aircraft, or timely insider selling are attention-grabbing headlines; however, HG Vora’s claims are simply not based on the facts readily available in our public disclosure.</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Our Board and management team are actively engaged with all shareholders and remain focused on executing on our strategy to create long-term shareholder value.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Sincerely,</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Board of Directors of PENN Entertainment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PENN Entertainment, Inc.</w:t>
      </w:r>
    </w:p>
    <w:p>
      <w:pPr>
        <w:spacing w:after="0" w:line="174"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3"/>
          <w:szCs w:val="13"/>
          <w:color w:val="auto"/>
        </w:rPr>
        <w:t>PENN Entertainment, Inc., together with its subsidiaries (“PENN,” or the “Company”), is North America’s leading provider of integrated entertainment, sports content, and casino gaming experiences. PENN operates in 28 jurisdictions throughout North America, with a broadly diversified portfolio of casinos, racetracks, and online sports betting and iCasino offerings under well-recognized brands including Hollywood Casino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3"/>
          <w:szCs w:val="13"/>
          <w:color w:val="auto"/>
        </w:rPr>
        <w:t>, L’Auberge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3"/>
          <w:szCs w:val="13"/>
          <w:color w:val="auto"/>
        </w:rPr>
        <w:t>, ESPN BET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3"/>
          <w:szCs w:val="13"/>
          <w:color w:val="auto"/>
        </w:rPr>
        <w:t>, and theScore BET Sportsbook and Casino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3"/>
          <w:szCs w:val="13"/>
          <w:color w:val="auto"/>
        </w:rPr>
        <w:t>. PENN’s ability to leverage its partnership with ESPN, the “worldwide leader in sports,” and its</w:t>
      </w:r>
    </w:p>
    <w:p>
      <w:pPr>
        <w:spacing w:after="0" w:line="225" w:lineRule="auto"/>
        <w:rPr>
          <w:sz w:val="20"/>
          <w:szCs w:val="20"/>
          <w:color w:val="auto"/>
        </w:rPr>
      </w:pPr>
      <w:r>
        <w:rPr>
          <w:rFonts w:ascii="Times New Roman" w:cs="Times New Roman" w:eastAsia="Times New Roman" w:hAnsi="Times New Roman"/>
          <w:sz w:val="14"/>
          <w:szCs w:val="14"/>
          <w:color w:val="auto"/>
        </w:rPr>
        <w:t>ownership of theScore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the top digital sports media brand in Canada, is central to the Company’s highly differentiated strategy to expand its footprint and efficiently grow its customer ecosystem. PENN’s focus on organic cross-sell opportunities is reinforced by its market-leading retail casinos, sports media assets, and technology, including a proprietary state-of-the-art, fully integrated digital sports and iCasino betting platform, and an in-house iCasino content studio (PENN Game Studios). The Company’s portfolio is further bolstered by its industry-leading PENN Play™ customer loyalty program, offering its over 32 million members a unique set of rewards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328930</wp:posOffset>
            </wp:positionV>
            <wp:extent cx="71647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7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These statements can be identified by the use of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forward-looking statements include, but are not limited to, statements regarding: the Company’s expectations of future results of operations and financial condition, including, but not limited to, projections of revenue, Adjusted EBITDA, Adjusted EBITDAR and other financial measures; the assumptions provided regarding the guidance, including the scale and timing of the Company’s product and technology investments; the Company’s expectations regarding results and customer growth and the impact of competition in retail/mobile/online sportsbooks, iCasino, social gaming, and retail operations; the Company’s development and launch of its Interactive segment’s products in new jurisdictions and enhancements to existing Interactive segment products, including the content for the ESPN BET and theScore BET and the further development of ESPN BET and theScore BET on our proprietary player account management system and risk and trading platforms; the benefits of the Sportsbook Agreement between the Company and ESPN; the Company’s expectations regarding its Sportsbook Agreement with ESPN and the future success of ESPN BET; the Company’s expectations with respect to share repurchases; the Company’s expectations with respect to the integration and synergies related to the Company’s integration of theScore and the continued growth and monetization of the Company’s media business; the Company’s expectations that its portfolio of assets provides a benefit of geographically-diversified cash flows from operations; management’s plans and strategies for future operations, including statements relating to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and the anticipated benefits; improvements, expansions, or relocations of our existing properties; entrance into new jurisdictions; expansion of gaming in existing jurisdictions; strategic investments and acquisitions; cross-sell opportunities between our retail gaming, online sports betting, and iCasino businesses; our ability to obtain financing for our development projects on attractive terms; the timing, cost and expected impact of planned capital expenditures on the Company’s results of operations; and the actions of regulatory, legislative, executive, or judicial decisions at the federal, state, provincial, or local level with regard to our business and the impact of any such actions.</w:t>
      </w:r>
    </w:p>
    <w:p>
      <w:pPr>
        <w:spacing w:after="0" w:line="14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changes in interest rates, economic downturns, changes in trade policies, and geopolitical and regulatory uncertainty; competition with other entertainment, sports content, and gaming experiences; the timing, cost and expected impact of product and technology investments; risks relating to operations, permits, licenses, financings, approvals and other contingencies in connection with growth in new or existing jurisdictions; our ability to successfully acquire and integrate new properties and operations and achieve expected synergies from acquisitions; the availability of future borrowings under our Amended Credit Facilities or other sources of capital to enable us to service our indebtedness, make anticipated capital expenditures or pay off or refinance our indebtedness prior to maturity; the impact of indemnification obligations under the Barstool SPA; our ability to achieve the anticipated financial returns from the Sportsbook Agreement with ESPN, including due to fees, costs, taxes, or circumstances beyond the Company’s or ESPN’s control; the occurrence of any event, change or other circumstances that could give rise to the right of one or both of the Company and ESPN to terminate the Sportsbook Agreement between the companies; the ability of the Company and ESPN to agree to extend the initial 10-year term of the Sportsbook Agreement on mutually satisfactory terms, if at all, and the costs and obligations of such terms if agreed; the outcome of any legal proceedings that may be instituted against the Company, ESPN or their respective directors, officers or employees; the ability of the Company or ESPN to retain and hire key personnel; the impact of new or changes in current laws, regulations, rules or other industry standards; the impact of activist shareholders; adverse outcomes of litigation involving the Company, including litigation in connection with our 2025 annual meeting of shareholders; our ability to maintain our gaming licenses and concessions and comply with applicable gaming law, changes in current laws, regulations, rules or other industry standards, and additional factors described in the Company’s Annual Report on Form 10-K for the year ended December 31, 2024,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press release may not occur.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Contact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Mike Nieves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SVP, Finance &amp; Treasurer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PENN Entertainment,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610-373-2400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330200</wp:posOffset>
            </wp:positionV>
            <wp:extent cx="716470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40"/>
          </w:cols>
          <w:pgMar w:left="300" w:top="722" w:right="35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72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1695"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72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1695"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72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695"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78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9578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72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695"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72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695"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72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695"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72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695"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85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695" cy="95853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2025-05-27T06:42:59Z</dcterms:created>
  <dcterms:modified xsi:type="dcterms:W3CDTF">2025-05-27T06:42:59Z</dcterms:modified>
</cp:coreProperties>
</file>