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olor w:val="000000"/>
        </w:rPr>
      </w:pPr>
      <w:bookmarkStart w:id="0" w:name="ef20079340_s8.htm"/>
      <w:bookmarkStart w:id="1" w:name="ksef20079340_s8"/>
      <w:bookmarkEnd w:id="0"/>
      <w:bookmarkEnd w:id="1"/>
      <w:r>
        <w:rPr>
          <w:b/>
          <w:color w:val="000000"/>
        </w:rPr>
        <w:t>As filed with the Securities and Exchange Commission on August 10, 2026</w:t>
      </w:r>
      <w:r>
        <w:rPr>
          <w:color w:val="000000"/>
        </w:rPr>
        <w:t xml:space="preserve"> </w:t>
      </w:r>
    </w:p>
    <w:p>
      <w:pPr>
        <w:pStyle w:val="TextBody"/>
        <w:bidi w:val="0"/>
        <w:spacing w:before="0" w:after="0"/>
        <w:jc w:val="right"/>
        <w:rPr>
          <w:color w:val="000000"/>
        </w:rPr>
      </w:pPr>
      <w:r>
        <w:rPr>
          <w:b/>
          <w:color w:val="000000"/>
        </w:rPr>
        <w:t>Registration No. 333-</w:t>
      </w:r>
      <w:r>
        <w:rPr>
          <w:color w:val="000000"/>
        </w:rPr>
        <w:t xml:space="preserve"> </w:t>
      </w:r>
    </w:p>
    <w:p>
      <w:pPr>
        <w:pStyle w:val="TextBody"/>
        <w:bidi w:val="0"/>
        <w:spacing w:before="0" w:after="0"/>
        <w:jc w:val="right"/>
        <w:rPr>
          <w:color w:val="000000"/>
        </w:rPr>
      </w:pPr>
      <w:r>
        <w:rPr>
          <w:color w:val="00000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color w:val="000000"/>
          <w:sz w:val="28"/>
        </w:rPr>
      </w:pPr>
      <w:r>
        <w:rPr>
          <w:b/>
          <w:color w:val="000000"/>
          <w:sz w:val="28"/>
        </w:rPr>
        <w:t>UNITED STATES</w:t>
      </w:r>
      <w:r>
        <w:rPr>
          <w:color w:val="000000"/>
          <w:sz w:val="28"/>
        </w:rPr>
        <w:t xml:space="preserve"> </w:t>
      </w:r>
    </w:p>
    <w:p>
      <w:pPr>
        <w:pStyle w:val="TextBody"/>
        <w:bidi w:val="0"/>
        <w:spacing w:before="0" w:after="0"/>
        <w:jc w:val="center"/>
        <w:rPr>
          <w:color w:val="000000"/>
          <w:sz w:val="28"/>
        </w:rPr>
      </w:pPr>
      <w:r>
        <w:rPr>
          <w:b/>
          <w:color w:val="000000"/>
          <w:sz w:val="28"/>
        </w:rPr>
        <w:t>SECURITIES AND EXCHANGE COMMISSION</w:t>
      </w:r>
      <w:r>
        <w:rPr>
          <w:color w:val="000000"/>
          <w:sz w:val="28"/>
        </w:rPr>
        <w:t xml:space="preserve"> </w:t>
      </w:r>
    </w:p>
    <w:p>
      <w:pPr>
        <w:pStyle w:val="TextBody"/>
        <w:bidi w:val="0"/>
        <w:spacing w:before="0" w:after="0"/>
        <w:jc w:val="center"/>
        <w:rPr>
          <w:color w:val="000000"/>
          <w:sz w:val="24"/>
        </w:rPr>
      </w:pPr>
      <w:r>
        <w:rPr>
          <w:b/>
          <w:color w:val="000000"/>
          <w:sz w:val="24"/>
        </w:rPr>
        <w:t>Washington, D.C. 20549</w:t>
      </w:r>
      <w:r>
        <w:rPr>
          <w:color w:val="000000"/>
          <w:sz w:val="24"/>
        </w:rPr>
        <w:t xml:space="preserve"> </w:t>
      </w:r>
    </w:p>
    <w:p>
      <w:pPr>
        <w:pStyle w:val="TextBody"/>
        <w:bidi w:val="0"/>
        <w:spacing w:before="0" w:after="0"/>
        <w:jc w:val="center"/>
        <w:rPr>
          <w:color w:val="000000"/>
          <w:sz w:val="36"/>
        </w:rPr>
      </w:pPr>
      <w:r>
        <w:rPr>
          <w:b/>
          <w:color w:val="000000"/>
          <w:sz w:val="36"/>
        </w:rPr>
        <w:t>FORM S-8</w:t>
      </w:r>
      <w:r>
        <w:rPr>
          <w:color w:val="000000"/>
          <w:sz w:val="36"/>
        </w:rPr>
        <w:t xml:space="preserve"> </w:t>
      </w:r>
    </w:p>
    <w:p>
      <w:pPr>
        <w:pStyle w:val="TextBody"/>
        <w:bidi w:val="0"/>
        <w:spacing w:before="0" w:after="0"/>
        <w:jc w:val="center"/>
        <w:rPr>
          <w:color w:val="000000"/>
        </w:rPr>
      </w:pPr>
      <w:r>
        <w:rPr>
          <w:b/>
          <w:color w:val="000000"/>
        </w:rPr>
        <w:t>REGISTRATION STATEMENT</w:t>
      </w:r>
      <w:r>
        <w:rPr>
          <w:color w:val="000000"/>
        </w:rPr>
        <w:t xml:space="preserve"> </w:t>
      </w:r>
    </w:p>
    <w:p>
      <w:pPr>
        <w:pStyle w:val="TextBody"/>
        <w:bidi w:val="0"/>
        <w:spacing w:before="0" w:after="0"/>
        <w:jc w:val="center"/>
        <w:rPr>
          <w:color w:val="000000"/>
        </w:rPr>
      </w:pPr>
      <w:r>
        <w:rPr>
          <w:b/>
          <w:i/>
          <w:color w:val="000000"/>
        </w:rPr>
        <w:t>UNDER</w:t>
      </w:r>
      <w:r>
        <w:rPr>
          <w:color w:val="000000"/>
        </w:rPr>
        <w:t xml:space="preserve"> </w:t>
      </w:r>
    </w:p>
    <w:p>
      <w:pPr>
        <w:pStyle w:val="TextBody"/>
        <w:bidi w:val="0"/>
        <w:spacing w:before="0" w:after="0"/>
        <w:jc w:val="center"/>
        <w:rPr>
          <w:color w:val="000000"/>
        </w:rPr>
      </w:pPr>
      <w:r>
        <w:rPr>
          <w:b/>
          <w:i/>
          <w:color w:val="000000"/>
        </w:rPr>
        <w:t>THE SECURITIES ACT OF 1933</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sz w:val="48"/>
        </w:rPr>
      </w:pPr>
      <w:r>
        <w:rPr>
          <w:b/>
          <w:color w:val="000000"/>
          <w:sz w:val="48"/>
        </w:rPr>
        <w:t>PENN ENTERTAINMENT, INC.</w:t>
      </w:r>
      <w:r>
        <w:rPr>
          <w:color w:val="000000"/>
          <w:sz w:val="48"/>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color w:val="000000"/>
        </w:rPr>
        <w:t xml:space="preserve">(Exact name of registrant as specified in its charter) </w:t>
      </w:r>
    </w:p>
    <w:p>
      <w:pPr>
        <w:pStyle w:val="TextBody"/>
        <w:bidi w:val="0"/>
        <w:spacing w:before="0" w:after="0"/>
        <w:jc w:val="left"/>
        <w:rPr>
          <w:color w:val="000000"/>
        </w:rPr>
      </w:pPr>
      <w:r>
        <w:rPr>
          <w:color w:val="000000"/>
        </w:rPr>
        <w:t xml:space="preserve">  </w:t>
      </w:r>
    </w:p>
    <w:tbl>
      <w:tblPr>
        <w:tblW w:w="9538" w:type="dxa"/>
        <w:jc w:val="left"/>
        <w:tblInd w:w="0" w:type="dxa"/>
        <w:tblLayout w:type="fixed"/>
        <w:tblCellMar>
          <w:top w:w="28" w:type="dxa"/>
          <w:left w:w="28" w:type="dxa"/>
          <w:bottom w:w="28" w:type="dxa"/>
          <w:right w:w="28" w:type="dxa"/>
        </w:tblCellMar>
      </w:tblPr>
      <w:tblGrid>
        <w:gridCol w:w="5761"/>
        <w:gridCol w:w="146"/>
        <w:gridCol w:w="363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5761" w:type="dxa"/>
            <w:tcBorders/>
            <w:tcMar>
              <w:top w:w="0" w:type="dxa"/>
              <w:left w:w="0" w:type="dxa"/>
              <w:bottom w:w="0" w:type="dxa"/>
              <w:right w:w="0" w:type="dxa"/>
            </w:tcMar>
            <w:vAlign w:val="center"/>
          </w:tcPr>
          <w:p>
            <w:pPr>
              <w:pStyle w:val="TableContents"/>
              <w:bidi w:val="0"/>
              <w:spacing w:before="0" w:after="283"/>
              <w:jc w:val="center"/>
              <w:rPr/>
            </w:pPr>
            <w:r>
              <w:rPr>
                <w:b/>
              </w:rPr>
              <w:t>Pennsylvania</w:t>
            </w:r>
            <w:r>
              <w:rPr/>
              <w:t xml:space="preserve"> </w:t>
            </w:r>
          </w:p>
        </w:tc>
        <w:tc>
          <w:tcPr>
            <w:tcW w:w="146" w:type="dxa"/>
            <w:tcBorders/>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center"/>
              <w:rPr/>
            </w:pPr>
            <w:r>
              <w:rPr>
                <w:b/>
              </w:rPr>
              <w:t>23-2234473</w:t>
            </w:r>
            <w:r>
              <w:rPr/>
              <w:t xml:space="preserve"> </w:t>
            </w:r>
          </w:p>
        </w:tc>
      </w:tr>
      <w:tr>
        <w:trPr/>
        <w:tc>
          <w:tcPr>
            <w:tcW w:w="5761" w:type="dxa"/>
            <w:tcBorders/>
            <w:tcMar>
              <w:top w:w="0" w:type="dxa"/>
              <w:left w:w="0" w:type="dxa"/>
              <w:bottom w:w="0" w:type="dxa"/>
              <w:right w:w="0" w:type="dxa"/>
            </w:tcMar>
            <w:vAlign w:val="center"/>
          </w:tcPr>
          <w:p>
            <w:pPr>
              <w:pStyle w:val="TableContents"/>
              <w:bidi w:val="0"/>
              <w:spacing w:before="0" w:after="283"/>
              <w:jc w:val="center"/>
              <w:rPr/>
            </w:pPr>
            <w:r>
              <w:rPr/>
              <w:t xml:space="preserve">(State or other jurisdiction of incorporation or organization) </w:t>
            </w:r>
          </w:p>
        </w:tc>
        <w:tc>
          <w:tcPr>
            <w:tcW w:w="146" w:type="dxa"/>
            <w:tcBorders/>
            <w:vAlign w:val="center"/>
          </w:tcPr>
          <w:p>
            <w:pPr>
              <w:pStyle w:val="TableContents"/>
              <w:bidi w:val="0"/>
              <w:spacing w:before="0" w:after="283"/>
              <w:jc w:val="left"/>
              <w:rPr/>
            </w:pPr>
            <w:r>
              <w:rPr/>
              <w:t> </w:t>
            </w:r>
          </w:p>
        </w:tc>
        <w:tc>
          <w:tcPr>
            <w:tcW w:w="3631" w:type="dxa"/>
            <w:tcBorders/>
            <w:tcMar>
              <w:top w:w="0" w:type="dxa"/>
              <w:left w:w="0" w:type="dxa"/>
              <w:bottom w:w="0" w:type="dxa"/>
              <w:right w:w="0" w:type="dxa"/>
            </w:tcMar>
            <w:vAlign w:val="center"/>
          </w:tcPr>
          <w:p>
            <w:pPr>
              <w:pStyle w:val="TableContents"/>
              <w:bidi w:val="0"/>
              <w:spacing w:before="0" w:after="283"/>
              <w:jc w:val="center"/>
              <w:rPr/>
            </w:pPr>
            <w:r>
              <w:rPr/>
              <w:t xml:space="preserve">(I.R.S. Employer Identification No.) </w:t>
            </w:r>
          </w:p>
        </w:tc>
      </w:tr>
    </w:tbl>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825 Berkshire Blvd., Suite 200</w:t>
      </w:r>
      <w:r>
        <w:rPr>
          <w:color w:val="000000"/>
        </w:rPr>
        <w:t xml:space="preserve"> </w:t>
      </w:r>
    </w:p>
    <w:p>
      <w:pPr>
        <w:pStyle w:val="TextBody"/>
        <w:bidi w:val="0"/>
        <w:spacing w:before="0" w:after="0"/>
        <w:jc w:val="center"/>
        <w:rPr>
          <w:color w:val="000000"/>
        </w:rPr>
      </w:pPr>
      <w:r>
        <w:rPr>
          <w:b/>
          <w:color w:val="000000"/>
        </w:rPr>
        <w:t>Wyomissing, Pennsylvania 19610</w:t>
      </w:r>
      <w:r>
        <w:rPr>
          <w:color w:val="000000"/>
        </w:rPr>
        <w:t xml:space="preserve"> </w:t>
      </w:r>
    </w:p>
    <w:p>
      <w:pPr>
        <w:pStyle w:val="TextBody"/>
        <w:bidi w:val="0"/>
        <w:spacing w:before="0" w:after="0"/>
        <w:jc w:val="center"/>
        <w:rPr>
          <w:color w:val="000000"/>
        </w:rPr>
      </w:pPr>
      <w:r>
        <w:rPr>
          <w:color w:val="000000"/>
        </w:rPr>
        <w:t xml:space="preserve">(Address of Principal Executive Offices) (Zip Code)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PENN Entertainment, Inc. 2022 Long Term Incentive Compensation Plan, as Amended</w:t>
      </w:r>
      <w:r>
        <w:rPr>
          <w:color w:val="000000"/>
        </w:rPr>
        <w:t xml:space="preserve"> </w:t>
      </w:r>
    </w:p>
    <w:p>
      <w:pPr>
        <w:pStyle w:val="TextBody"/>
        <w:bidi w:val="0"/>
        <w:spacing w:before="0" w:after="0"/>
        <w:jc w:val="center"/>
        <w:rPr>
          <w:color w:val="000000"/>
        </w:rPr>
      </w:pPr>
      <w:r>
        <w:rPr>
          <w:color w:val="000000"/>
        </w:rPr>
        <w:t xml:space="preserve">(Full title of the plan)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Christopher Rogers</w:t>
      </w:r>
      <w:r>
        <w:rPr>
          <w:color w:val="000000"/>
        </w:rPr>
        <w:t xml:space="preserve"> </w:t>
      </w:r>
    </w:p>
    <w:p>
      <w:pPr>
        <w:pStyle w:val="TextBody"/>
        <w:bidi w:val="0"/>
        <w:spacing w:before="0" w:after="0"/>
        <w:jc w:val="center"/>
        <w:rPr>
          <w:color w:val="000000"/>
        </w:rPr>
      </w:pPr>
      <w:r>
        <w:rPr>
          <w:b/>
          <w:color w:val="000000"/>
        </w:rPr>
        <w:t>Executive Vice President, Chief Strategy and Legal Officer and Secretary</w:t>
      </w:r>
      <w:r>
        <w:rPr>
          <w:color w:val="000000"/>
        </w:rPr>
        <w:t xml:space="preserve"> </w:t>
      </w:r>
    </w:p>
    <w:p>
      <w:pPr>
        <w:pStyle w:val="TextBody"/>
        <w:bidi w:val="0"/>
        <w:spacing w:before="0" w:after="0"/>
        <w:jc w:val="center"/>
        <w:rPr>
          <w:color w:val="000000"/>
        </w:rPr>
      </w:pPr>
      <w:r>
        <w:rPr>
          <w:b/>
          <w:color w:val="000000"/>
        </w:rPr>
        <w:t>PENN Entertainment, Inc.</w:t>
      </w:r>
      <w:r>
        <w:rPr>
          <w:color w:val="000000"/>
        </w:rPr>
        <w:t xml:space="preserve"> </w:t>
      </w:r>
    </w:p>
    <w:p>
      <w:pPr>
        <w:pStyle w:val="TextBody"/>
        <w:bidi w:val="0"/>
        <w:spacing w:before="0" w:after="0"/>
        <w:jc w:val="center"/>
        <w:rPr>
          <w:color w:val="000000"/>
        </w:rPr>
      </w:pPr>
      <w:r>
        <w:rPr>
          <w:b/>
          <w:color w:val="000000"/>
        </w:rPr>
        <w:t>825 Berkshire Blvd., Suite 200</w:t>
      </w:r>
      <w:r>
        <w:rPr>
          <w:color w:val="000000"/>
        </w:rPr>
        <w:t xml:space="preserve"> </w:t>
      </w:r>
    </w:p>
    <w:p>
      <w:pPr>
        <w:pStyle w:val="TextBody"/>
        <w:bidi w:val="0"/>
        <w:spacing w:before="0" w:after="0"/>
        <w:jc w:val="center"/>
        <w:rPr>
          <w:color w:val="000000"/>
        </w:rPr>
      </w:pPr>
      <w:r>
        <w:rPr>
          <w:b/>
          <w:color w:val="000000"/>
        </w:rPr>
        <w:t>Wyomissing, Pennsylvania 19610</w:t>
      </w:r>
      <w:r>
        <w:rPr>
          <w:color w:val="000000"/>
        </w:rPr>
        <w:t xml:space="preserve"> </w:t>
      </w:r>
    </w:p>
    <w:p>
      <w:pPr>
        <w:pStyle w:val="TextBody"/>
        <w:bidi w:val="0"/>
        <w:spacing w:before="0" w:after="0"/>
        <w:jc w:val="center"/>
        <w:rPr>
          <w:color w:val="000000"/>
        </w:rPr>
      </w:pPr>
      <w:r>
        <w:rPr>
          <w:color w:val="000000"/>
        </w:rPr>
        <w:t xml:space="preserve">(Name and address of agent for service)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(610) 373-2400</w:t>
      </w:r>
      <w:r>
        <w:rPr>
          <w:color w:val="000000"/>
        </w:rPr>
        <w:t xml:space="preserve"> </w:t>
      </w:r>
    </w:p>
    <w:p>
      <w:pPr>
        <w:pStyle w:val="TextBody"/>
        <w:bidi w:val="0"/>
        <w:spacing w:before="0" w:after="0"/>
        <w:jc w:val="center"/>
        <w:rPr>
          <w:color w:val="000000"/>
        </w:rPr>
      </w:pPr>
      <w:r>
        <w:rPr>
          <w:color w:val="000000"/>
        </w:rPr>
        <w:t xml:space="preserve">(Telephone number, including area code, of agent for service) </w:t>
      </w:r>
    </w:p>
    <w:p>
      <w:pPr>
        <w:pStyle w:val="HorizontalLine"/>
        <w:pBdr>
          <w:bottom w:val="double" w:sz="2" w:space="0" w:color="808080"/>
        </w:pBdr>
        <w:bidi w:val="0"/>
        <w:spacing w:before="0" w:after="283"/>
        <w:jc w:val="left"/>
        <w:rPr/>
      </w:pPr>
      <w:r>
        <w:rPr/>
      </w:r>
    </w:p>
    <w:p>
      <w:pPr>
        <w:pStyle w:val="TextBody"/>
        <w:bidi w:val="0"/>
        <w:spacing w:before="0" w:after="0"/>
        <w:jc w:val="center"/>
        <w:rPr>
          <w:color w:val="000000"/>
        </w:rPr>
      </w:pPr>
      <w:r>
        <w:rPr>
          <w:b/>
          <w:color w:val="000000"/>
        </w:rPr>
        <w:t>Copy to:</w:t>
      </w:r>
      <w:r>
        <w:rPr>
          <w:color w:val="000000"/>
        </w:rPr>
        <w:t xml:space="preserve"> </w:t>
      </w:r>
    </w:p>
    <w:p>
      <w:pPr>
        <w:pStyle w:val="TextBody"/>
        <w:bidi w:val="0"/>
        <w:spacing w:before="0" w:after="0"/>
        <w:jc w:val="center"/>
        <w:rPr>
          <w:color w:val="000000"/>
        </w:rPr>
      </w:pPr>
      <w:r>
        <w:rPr>
          <w:b/>
          <w:color w:val="000000"/>
        </w:rPr>
        <w:t>Raquel Fox</w:t>
      </w:r>
      <w:r>
        <w:rPr>
          <w:color w:val="000000"/>
        </w:rPr>
        <w:t xml:space="preserve"> </w:t>
      </w:r>
    </w:p>
    <w:p>
      <w:pPr>
        <w:pStyle w:val="TextBody"/>
        <w:bidi w:val="0"/>
        <w:spacing w:before="0" w:after="0"/>
        <w:jc w:val="center"/>
        <w:rPr>
          <w:color w:val="000000"/>
        </w:rPr>
      </w:pPr>
      <w:r>
        <w:rPr>
          <w:b/>
          <w:color w:val="000000"/>
        </w:rPr>
        <w:t>Skadden, Arps, Slate, Meagher &amp; Flom LLP</w:t>
      </w:r>
      <w:r>
        <w:rPr>
          <w:color w:val="000000"/>
        </w:rPr>
        <w:t xml:space="preserve"> </w:t>
      </w:r>
    </w:p>
    <w:p>
      <w:pPr>
        <w:pStyle w:val="TextBody"/>
        <w:bidi w:val="0"/>
        <w:spacing w:before="0" w:after="0"/>
        <w:jc w:val="center"/>
        <w:rPr>
          <w:color w:val="000000"/>
        </w:rPr>
      </w:pPr>
      <w:r>
        <w:rPr>
          <w:b/>
          <w:color w:val="000000"/>
        </w:rPr>
        <w:t>1440 New York Avenue, N.W.</w:t>
      </w:r>
      <w:r>
        <w:rPr>
          <w:color w:val="000000"/>
        </w:rPr>
        <w:t xml:space="preserve"> </w:t>
      </w:r>
    </w:p>
    <w:p>
      <w:pPr>
        <w:pStyle w:val="TextBody"/>
        <w:bidi w:val="0"/>
        <w:spacing w:before="0" w:after="0"/>
        <w:jc w:val="center"/>
        <w:rPr>
          <w:color w:val="000000"/>
        </w:rPr>
      </w:pPr>
      <w:r>
        <w:rPr>
          <w:b/>
          <w:color w:val="000000"/>
        </w:rPr>
        <w:t>Washington, D.C. 20005</w:t>
      </w:r>
      <w:r>
        <w:rPr>
          <w:color w:val="000000"/>
        </w:rPr>
        <w:t xml:space="preserve"> </w:t>
      </w:r>
    </w:p>
    <w:p>
      <w:pPr>
        <w:pStyle w:val="TextBody"/>
        <w:bidi w:val="0"/>
        <w:spacing w:before="0" w:after="0"/>
        <w:jc w:val="center"/>
        <w:rPr>
          <w:color w:val="000000"/>
        </w:rPr>
      </w:pPr>
      <w:r>
        <w:rPr>
          <w:b/>
          <w:color w:val="000000"/>
        </w:rPr>
        <w:t>(202) 371-7050</w:t>
      </w:r>
      <w:r>
        <w:rPr>
          <w:color w:val="00000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color w:val="000000"/>
        </w:rPr>
      </w:pPr>
      <w:r>
        <w:rPr>
          <w:color w:val="000000"/>
        </w:rPr>
        <w:t xml:space="preserve">  </w:t>
      </w:r>
    </w:p>
    <w:tbl>
      <w:tblPr>
        <w:tblW w:w="5839" w:type="dxa"/>
        <w:jc w:val="left"/>
        <w:tblInd w:w="0" w:type="dxa"/>
        <w:tblLayout w:type="fixed"/>
        <w:tblCellMar>
          <w:top w:w="28" w:type="dxa"/>
          <w:left w:w="28" w:type="dxa"/>
          <w:bottom w:w="28" w:type="dxa"/>
          <w:right w:w="28" w:type="dxa"/>
        </w:tblCellMar>
      </w:tblPr>
      <w:tblGrid>
        <w:gridCol w:w="2281"/>
        <w:gridCol w:w="376"/>
        <w:gridCol w:w="2761"/>
        <w:gridCol w:w="421"/>
      </w:tblGrid>
      <w:tr>
        <w:trPr/>
        <w:tc>
          <w:tcPr>
            <w:tcW w:w="22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jc w:val="both"/>
              <w:rPr>
                <w:color w:val="000000"/>
              </w:rPr>
            </w:pPr>
            <w:r>
              <w:rPr>
                <w:color w:val="000000"/>
              </w:rPr>
              <w:t xml:space="preserve">Large accelerated filer </w:t>
            </w:r>
          </w:p>
        </w:tc>
        <w:tc>
          <w:tcPr>
            <w:tcW w:w="376" w:type="dxa"/>
            <w:tcBorders/>
            <w:vAlign w:val="center"/>
          </w:tcPr>
          <w:p>
            <w:pPr>
              <w:pStyle w:val="TableContents"/>
              <w:bidi w:val="0"/>
              <w:spacing w:before="0" w:after="0"/>
              <w:jc w:val="left"/>
              <w:rPr>
                <w:color w:val="000000"/>
              </w:rPr>
            </w:pPr>
            <w:r>
              <w:rPr>
                <w:color w:val="000000"/>
              </w:rPr>
              <w:t xml:space="preserve">☒ </w:t>
            </w:r>
          </w:p>
        </w:tc>
        <w:tc>
          <w:tcPr>
            <w:tcW w:w="2761" w:type="dxa"/>
            <w:tcBorders/>
            <w:vAlign w:val="center"/>
          </w:tcPr>
          <w:p>
            <w:pPr>
              <w:pStyle w:val="TableContents"/>
              <w:bidi w:val="0"/>
              <w:spacing w:before="0" w:after="0"/>
              <w:jc w:val="both"/>
              <w:rPr>
                <w:color w:val="000000"/>
              </w:rPr>
            </w:pPr>
            <w:r>
              <w:rPr>
                <w:color w:val="000000"/>
              </w:rPr>
              <w:t xml:space="preserve">Accelerated filer </w:t>
            </w:r>
          </w:p>
        </w:tc>
        <w:tc>
          <w:tcPr>
            <w:tcW w:w="421" w:type="dxa"/>
            <w:tcBorders/>
            <w:vAlign w:val="center"/>
          </w:tcPr>
          <w:p>
            <w:pPr>
              <w:pStyle w:val="TableContents"/>
              <w:bidi w:val="0"/>
              <w:spacing w:before="0" w:after="0"/>
              <w:jc w:val="left"/>
              <w:rPr>
                <w:color w:val="000000"/>
              </w:rPr>
            </w:pPr>
            <w:r>
              <w:rPr>
                <w:color w:val="000000"/>
              </w:rPr>
              <w:t xml:space="preserve">☐ </w:t>
            </w:r>
          </w:p>
        </w:tc>
      </w:tr>
      <w:tr>
        <w:trPr/>
        <w:tc>
          <w:tcPr>
            <w:tcW w:w="2281" w:type="dxa"/>
            <w:tcBorders/>
            <w:vAlign w:val="center"/>
          </w:tcPr>
          <w:p>
            <w:pPr>
              <w:pStyle w:val="TableContents"/>
              <w:bidi w:val="0"/>
              <w:spacing w:before="0" w:after="0"/>
              <w:jc w:val="left"/>
              <w:rPr>
                <w:color w:val="000000"/>
              </w:rPr>
            </w:pPr>
            <w:r>
              <w:rPr>
                <w:color w:val="000000"/>
              </w:rPr>
              <w:t xml:space="preserve">  </w:t>
            </w:r>
          </w:p>
        </w:tc>
        <w:tc>
          <w:tcPr>
            <w:tcW w:w="376" w:type="dxa"/>
            <w:tcBorders/>
            <w:vAlign w:val="center"/>
          </w:tcPr>
          <w:p>
            <w:pPr>
              <w:pStyle w:val="TableContents"/>
              <w:bidi w:val="0"/>
              <w:spacing w:before="0" w:after="0"/>
              <w:jc w:val="left"/>
              <w:rPr>
                <w:color w:val="000000"/>
              </w:rPr>
            </w:pPr>
            <w:r>
              <w:rPr>
                <w:color w:val="000000"/>
              </w:rPr>
              <w:t xml:space="preserve">  </w:t>
            </w:r>
          </w:p>
        </w:tc>
        <w:tc>
          <w:tcPr>
            <w:tcW w:w="2761" w:type="dxa"/>
            <w:tcBorders/>
            <w:vAlign w:val="center"/>
          </w:tcPr>
          <w:p>
            <w:pPr>
              <w:pStyle w:val="TableContents"/>
              <w:bidi w:val="0"/>
              <w:spacing w:before="0" w:after="0"/>
              <w:jc w:val="left"/>
              <w:rPr>
                <w:color w:val="000000"/>
              </w:rPr>
            </w:pPr>
            <w:r>
              <w:rPr>
                <w:color w:val="000000"/>
              </w:rPr>
              <w:t xml:space="preserve">  </w:t>
            </w:r>
          </w:p>
        </w:tc>
        <w:tc>
          <w:tcPr>
            <w:tcW w:w="421" w:type="dxa"/>
            <w:tcBorders/>
            <w:vAlign w:val="center"/>
          </w:tcPr>
          <w:p>
            <w:pPr>
              <w:pStyle w:val="TableContents"/>
              <w:bidi w:val="0"/>
              <w:spacing w:before="0" w:after="0"/>
              <w:jc w:val="left"/>
              <w:rPr>
                <w:color w:val="000000"/>
              </w:rPr>
            </w:pPr>
            <w:r>
              <w:rPr>
                <w:color w:val="000000"/>
              </w:rPr>
              <w:t xml:space="preserve">  </w:t>
            </w:r>
          </w:p>
        </w:tc>
      </w:tr>
      <w:tr>
        <w:trPr/>
        <w:tc>
          <w:tcPr>
            <w:tcW w:w="2281" w:type="dxa"/>
            <w:tcBorders/>
            <w:vAlign w:val="center"/>
          </w:tcPr>
          <w:p>
            <w:pPr>
              <w:pStyle w:val="TableContents"/>
              <w:bidi w:val="0"/>
              <w:spacing w:before="0" w:after="0"/>
              <w:jc w:val="both"/>
              <w:rPr>
                <w:color w:val="000000"/>
              </w:rPr>
            </w:pPr>
            <w:r>
              <w:rPr>
                <w:color w:val="000000"/>
              </w:rPr>
              <w:t xml:space="preserve">Non-accelerated filer </w:t>
            </w:r>
          </w:p>
        </w:tc>
        <w:tc>
          <w:tcPr>
            <w:tcW w:w="376" w:type="dxa"/>
            <w:tcBorders/>
            <w:vAlign w:val="center"/>
          </w:tcPr>
          <w:p>
            <w:pPr>
              <w:pStyle w:val="TableContents"/>
              <w:bidi w:val="0"/>
              <w:spacing w:before="0" w:after="0"/>
              <w:jc w:val="left"/>
              <w:rPr>
                <w:color w:val="000000"/>
              </w:rPr>
            </w:pPr>
            <w:r>
              <w:rPr>
                <w:color w:val="000000"/>
              </w:rPr>
              <w:t xml:space="preserve">☐ </w:t>
            </w:r>
          </w:p>
        </w:tc>
        <w:tc>
          <w:tcPr>
            <w:tcW w:w="2761" w:type="dxa"/>
            <w:tcBorders/>
            <w:vAlign w:val="center"/>
          </w:tcPr>
          <w:p>
            <w:pPr>
              <w:pStyle w:val="TableContents"/>
              <w:bidi w:val="0"/>
              <w:spacing w:before="0" w:after="0"/>
              <w:jc w:val="both"/>
              <w:rPr>
                <w:color w:val="000000"/>
              </w:rPr>
            </w:pPr>
            <w:r>
              <w:rPr>
                <w:color w:val="000000"/>
              </w:rPr>
              <w:t xml:space="preserve">Smaller reporting company </w:t>
            </w:r>
          </w:p>
        </w:tc>
        <w:tc>
          <w:tcPr>
            <w:tcW w:w="421" w:type="dxa"/>
            <w:tcBorders/>
            <w:vAlign w:val="center"/>
          </w:tcPr>
          <w:p>
            <w:pPr>
              <w:pStyle w:val="TableContents"/>
              <w:bidi w:val="0"/>
              <w:spacing w:before="0" w:after="0"/>
              <w:jc w:val="left"/>
              <w:rPr>
                <w:color w:val="000000"/>
              </w:rPr>
            </w:pPr>
            <w:r>
              <w:rPr>
                <w:color w:val="000000"/>
              </w:rPr>
              <w:t xml:space="preserve">☐ </w:t>
            </w:r>
          </w:p>
        </w:tc>
      </w:tr>
      <w:tr>
        <w:trPr/>
        <w:tc>
          <w:tcPr>
            <w:tcW w:w="2281" w:type="dxa"/>
            <w:tcBorders/>
            <w:vAlign w:val="center"/>
          </w:tcPr>
          <w:p>
            <w:pPr>
              <w:pStyle w:val="TableContents"/>
              <w:bidi w:val="0"/>
              <w:spacing w:before="0" w:after="0"/>
              <w:jc w:val="left"/>
              <w:rPr>
                <w:color w:val="000000"/>
              </w:rPr>
            </w:pPr>
            <w:r>
              <w:rPr>
                <w:color w:val="000000"/>
              </w:rPr>
              <w:t xml:space="preserve">  </w:t>
            </w:r>
          </w:p>
        </w:tc>
        <w:tc>
          <w:tcPr>
            <w:tcW w:w="376" w:type="dxa"/>
            <w:tcBorders/>
            <w:vAlign w:val="center"/>
          </w:tcPr>
          <w:p>
            <w:pPr>
              <w:pStyle w:val="TableContents"/>
              <w:bidi w:val="0"/>
              <w:spacing w:before="0" w:after="0"/>
              <w:jc w:val="left"/>
              <w:rPr>
                <w:color w:val="000000"/>
              </w:rPr>
            </w:pPr>
            <w:r>
              <w:rPr>
                <w:color w:val="000000"/>
              </w:rPr>
              <w:t xml:space="preserve">  </w:t>
            </w:r>
          </w:p>
        </w:tc>
        <w:tc>
          <w:tcPr>
            <w:tcW w:w="2761" w:type="dxa"/>
            <w:tcBorders/>
            <w:vAlign w:val="center"/>
          </w:tcPr>
          <w:p>
            <w:pPr>
              <w:pStyle w:val="TableContents"/>
              <w:bidi w:val="0"/>
              <w:spacing w:before="0" w:after="0"/>
              <w:jc w:val="left"/>
              <w:rPr>
                <w:color w:val="000000"/>
              </w:rPr>
            </w:pPr>
            <w:r>
              <w:rPr>
                <w:color w:val="000000"/>
              </w:rPr>
              <w:t xml:space="preserve">  </w:t>
            </w:r>
          </w:p>
        </w:tc>
        <w:tc>
          <w:tcPr>
            <w:tcW w:w="421" w:type="dxa"/>
            <w:tcBorders/>
            <w:vAlign w:val="center"/>
          </w:tcPr>
          <w:p>
            <w:pPr>
              <w:pStyle w:val="TableContents"/>
              <w:bidi w:val="0"/>
              <w:spacing w:before="0" w:after="0"/>
              <w:jc w:val="left"/>
              <w:rPr>
                <w:color w:val="000000"/>
              </w:rPr>
            </w:pPr>
            <w:r>
              <w:rPr>
                <w:color w:val="000000"/>
              </w:rPr>
              <w:t xml:space="preserve">  </w:t>
            </w:r>
          </w:p>
        </w:tc>
      </w:tr>
      <w:tr>
        <w:trPr/>
        <w:tc>
          <w:tcPr>
            <w:tcW w:w="2281" w:type="dxa"/>
            <w:tcBorders/>
            <w:vAlign w:val="center"/>
          </w:tcPr>
          <w:p>
            <w:pPr>
              <w:pStyle w:val="TableContents"/>
              <w:bidi w:val="0"/>
              <w:spacing w:before="0" w:after="0"/>
              <w:jc w:val="left"/>
              <w:rPr>
                <w:color w:val="000000"/>
              </w:rPr>
            </w:pPr>
            <w:r>
              <w:rPr>
                <w:color w:val="000000"/>
              </w:rPr>
              <w:t xml:space="preserve">  </w:t>
            </w:r>
          </w:p>
        </w:tc>
        <w:tc>
          <w:tcPr>
            <w:tcW w:w="376" w:type="dxa"/>
            <w:tcBorders/>
            <w:vAlign w:val="center"/>
          </w:tcPr>
          <w:p>
            <w:pPr>
              <w:pStyle w:val="TableContents"/>
              <w:bidi w:val="0"/>
              <w:spacing w:before="0" w:after="0"/>
              <w:jc w:val="left"/>
              <w:rPr>
                <w:color w:val="000000"/>
              </w:rPr>
            </w:pPr>
            <w:r>
              <w:rPr>
                <w:color w:val="000000"/>
              </w:rPr>
              <w:t xml:space="preserve">  </w:t>
            </w:r>
          </w:p>
        </w:tc>
        <w:tc>
          <w:tcPr>
            <w:tcW w:w="2761" w:type="dxa"/>
            <w:tcBorders/>
            <w:vAlign w:val="center"/>
          </w:tcPr>
          <w:p>
            <w:pPr>
              <w:pStyle w:val="TableContents"/>
              <w:bidi w:val="0"/>
              <w:spacing w:before="0" w:after="0"/>
              <w:jc w:val="both"/>
              <w:rPr>
                <w:color w:val="000000"/>
              </w:rPr>
            </w:pPr>
            <w:r>
              <w:rPr>
                <w:color w:val="000000"/>
              </w:rPr>
              <w:t xml:space="preserve">Emerging growth company </w:t>
            </w:r>
          </w:p>
        </w:tc>
        <w:tc>
          <w:tcPr>
            <w:tcW w:w="421" w:type="dxa"/>
            <w:tcBorders/>
            <w:vAlign w:val="center"/>
          </w:tcPr>
          <w:p>
            <w:pPr>
              <w:pStyle w:val="TableContents"/>
              <w:bidi w:val="0"/>
              <w:spacing w:before="0" w:after="0"/>
              <w:jc w:val="left"/>
              <w:rPr>
                <w:color w:val="000000"/>
              </w:rPr>
            </w:pPr>
            <w:r>
              <w:rPr>
                <w:color w:val="000000"/>
              </w:rPr>
              <w:t xml:space="preserve">☐ </w:t>
            </w:r>
          </w:p>
        </w:tc>
      </w:tr>
    </w:tbl>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color w:val="000000"/>
        </w:rPr>
      </w:pPr>
      <w:r>
        <w:rPr>
          <w:color w:val="000000"/>
        </w:rPr>
        <w: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olor w:val="000000"/>
        </w:rPr>
      </w:pPr>
      <w:r>
        <w:rPr>
          <w:b/>
          <w:color w:val="000000"/>
        </w:rPr>
        <w:t>EXPLANATORY NOTE</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pPr>
      <w:r>
        <w:rPr>
          <w:color w:val="000000"/>
        </w:rPr>
        <w:t xml:space="preserve">This Registration Statement is being filed by PENN Entertainment, Inc. (the “Registrant” or “Company”) in accordance with General Instruction E to Form S-8, to register 4,000,000 additional shares of common stock, $0.01 par value per share (the “Common Stock”), reserved for issuance under the PENN Entertainment, Inc. 2022 Long Term Incentive Compensation Plan (as amended, the “2022 Plan”), as approved by the Company’s shareholders on June 16, 2026. The contents of the Company’s registration statements on Form S-8 filed with the Securities and Exchange Commission on June 15, 2022 </w:t>
      </w:r>
      <w:hyperlink r:id="rId2">
        <w:r>
          <w:rPr>
            <w:rStyle w:val="InternetLink"/>
          </w:rPr>
          <w:t>(No. 333-265637)</w:t>
        </w:r>
      </w:hyperlink>
      <w:r>
        <w:rPr>
          <w:color w:val="000000"/>
        </w:rPr>
        <w:t xml:space="preserve">, June 16, 2023 </w:t>
      </w:r>
      <w:hyperlink r:id="rId3">
        <w:r>
          <w:rPr>
            <w:rStyle w:val="InternetLink"/>
          </w:rPr>
          <w:t>(No. 333-272723)</w:t>
        </w:r>
      </w:hyperlink>
      <w:r>
        <w:rPr>
          <w:color w:val="000000"/>
        </w:rPr>
        <w:t xml:space="preserve"> and August 7, 2025 </w:t>
      </w:r>
      <w:hyperlink r:id="rId4">
        <w:r>
          <w:rPr>
            <w:rStyle w:val="InternetLink"/>
          </w:rPr>
          <w:t>(No. 333-289386)</w:t>
        </w:r>
      </w:hyperlink>
      <w:r>
        <w:rPr>
          <w:color w:val="000000"/>
        </w:rPr>
        <w:t xml:space="preserve">, which relate to the 2022 Plan, are hereby incorporated by reference into this Registration Statement.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PART II</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b/>
          <w:color w:val="000000"/>
        </w:rPr>
        <w:t>INFORMATION REQUIRED IN THE REGISTRATION STATEMENT</w:t>
      </w:r>
      <w:r>
        <w:rPr>
          <w:color w:val="000000"/>
        </w:rPr>
        <w:t xml:space="preserve"> </w:t>
      </w:r>
    </w:p>
    <w:p>
      <w:pPr>
        <w:pStyle w:val="TextBody"/>
        <w:bidi w:val="0"/>
        <w:spacing w:before="0" w:after="0"/>
        <w:jc w:val="center"/>
        <w:rPr>
          <w:color w:val="000000"/>
        </w:rPr>
      </w:pPr>
      <w:r>
        <w:rPr>
          <w:color w:val="000000"/>
        </w:rPr>
        <w:t xml:space="preserve">  </w:t>
      </w:r>
    </w:p>
    <w:p>
      <w:pPr>
        <w:pStyle w:val="TextBody"/>
        <w:bidi w:val="0"/>
        <w:spacing w:before="0" w:after="0"/>
        <w:ind w:left="0" w:right="0" w:hanging="1260"/>
        <w:jc w:val="left"/>
        <w:rPr>
          <w:color w:val="000000"/>
        </w:rPr>
      </w:pPr>
      <w:r>
        <w:rPr>
          <w:b/>
          <w:color w:val="000000"/>
        </w:rPr>
        <w:t>Exhibits.</w:t>
      </w:r>
      <w:r>
        <w:rPr>
          <w:color w:val="00000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8001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800100" cy="175260"/>
                        </a:xfrm>
                        <a:prstGeom prst="rect"/>
                        <a:solidFill>
                          <a:srgbClr val="FFFFFF"/>
                        </a:solidFill>
                      </wps:spPr>
                      <wps:txbx>
                        <w:txbxContent>
                          <w:p>
                            <w:pPr>
                              <w:pStyle w:val="TextBody"/>
                              <w:bidi w:val="0"/>
                              <w:spacing w:before="0" w:after="283"/>
                              <w:jc w:val="left"/>
                              <w:rPr/>
                            </w:pPr>
                            <w:r>
                              <w:rPr>
                                <w:b/>
                              </w:rPr>
                              <w:t>Item 8.</w:t>
                            </w:r>
                            <w:r>
                              <w:rPr/>
                              <w:t xml:space="preserve"> </w:t>
                            </w:r>
                          </w:p>
                        </w:txbxContent>
                      </wps:txbx>
                      <wps:bodyPr anchor="t" lIns="0" tIns="0" rIns="0" bIns="0">
                        <a:noAutofit/>
                      </wps:bodyPr>
                    </wps:wsp>
                  </a:graphicData>
                </a:graphic>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8.</w:t>
                      </w:r>
                      <w:r>
                        <w:rPr/>
                        <w:t xml:space="preserve"> </w:t>
                      </w:r>
                    </w:p>
                  </w:txbxContent>
                </v:textbox>
                <w10:wrap type="square" side="right"/>
              </v:rect>
            </w:pict>
          </mc:Fallback>
        </mc:AlternateContent>
      </w:r>
    </w:p>
    <w:p>
      <w:pPr>
        <w:pStyle w:val="TextBody"/>
        <w:bidi w:val="0"/>
        <w:spacing w:before="0" w:after="0"/>
        <w:jc w:val="left"/>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80"/>
        <w:gridCol w:w="9225"/>
      </w:tblGrid>
      <w:tr>
        <w:trPr/>
        <w:tc>
          <w:tcPr>
            <w:tcW w:w="98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 </w:t>
            </w:r>
          </w:p>
        </w:tc>
      </w:tr>
      <w:tr>
        <w:trPr/>
        <w:tc>
          <w:tcPr>
            <w:tcW w:w="980" w:type="dxa"/>
            <w:tcBorders/>
            <w:tcMar>
              <w:top w:w="0" w:type="dxa"/>
              <w:left w:w="0" w:type="dxa"/>
              <w:bottom w:w="0" w:type="dxa"/>
              <w:right w:w="0" w:type="dxa"/>
            </w:tcMar>
            <w:vAlign w:val="center"/>
          </w:tcPr>
          <w:p>
            <w:pPr>
              <w:pStyle w:val="TableContents"/>
              <w:bidi w:val="0"/>
              <w:spacing w:before="0" w:after="283"/>
              <w:jc w:val="center"/>
              <w:rPr/>
            </w:pPr>
            <w:r>
              <w:rPr>
                <w:b/>
              </w:rPr>
              <w:t>Exhibit</w:t>
              <w:br/>
              <w:t>Number</w:t>
            </w:r>
            <w:r>
              <w:rPr/>
              <w:t xml:space="preserve"> </w:t>
            </w:r>
          </w:p>
        </w:tc>
        <w:tc>
          <w:tcPr>
            <w:tcW w:w="9225" w:type="dxa"/>
            <w:tcBorders/>
            <w:tcMar>
              <w:top w:w="0" w:type="dxa"/>
              <w:left w:w="0" w:type="dxa"/>
              <w:bottom w:w="0" w:type="dxa"/>
              <w:right w:w="0" w:type="dxa"/>
            </w:tcMar>
            <w:vAlign w:val="center"/>
          </w:tcPr>
          <w:p>
            <w:pPr>
              <w:pStyle w:val="TableContents"/>
              <w:bidi w:val="0"/>
              <w:spacing w:before="0" w:after="283"/>
              <w:jc w:val="center"/>
              <w:rPr/>
            </w:pPr>
            <w:r>
              <w:rPr>
                <w:b/>
              </w:rPr>
              <w:t>Description</w:t>
            </w:r>
            <w:r>
              <w:rPr/>
              <w:t xml:space="preserve"> </w:t>
            </w:r>
          </w:p>
        </w:tc>
      </w:tr>
      <w:tr>
        <w:trPr/>
        <w:tc>
          <w:tcPr>
            <w:tcW w:w="98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 </w:t>
            </w:r>
          </w:p>
        </w:tc>
      </w:tr>
      <w:tr>
        <w:trPr/>
        <w:tc>
          <w:tcPr>
            <w:tcW w:w="980" w:type="dxa"/>
            <w:tcBorders/>
            <w:shd w:fill="CCEE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Pr>
                <w:t>4.1</w:t>
              </w:r>
            </w:hyperlink>
            <w:r>
              <w:rPr/>
              <w:t xml:space="preserve"> </w:t>
            </w:r>
          </w:p>
        </w:tc>
        <w:tc>
          <w:tcPr>
            <w:tcW w:w="9225"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Second Amended and Restated Articles of Incorporation of Penn National Gaming, Inc., filed with the Pennsylvania Department of State on October 15, 1996, as amended by the Articles of Amendments to the Amended and Restated Articles of Incorporation filed with the Pennsylvania Department of State on November 13, 1996, July 23, 2001 and December 28, 2007 and the Statement with Respect to Shares of Series C Convertible Preferred Stock of Penn National Gaming, Inc. dated as of January 17, 2013, and the Statement with Respect to Shares of Series D Convertible Preferred Stock of Penn National Gaming, Inc. dated as of February 19, 2020, and as further amended and restated by the Second Amended and Restated Articles of Incorporation of Penn National Gaming, Inc. filed with the Pennsylvania Department of State on June 17, 2021, is hereby incorporated by reference to Exhibit 99.1 to the Company’s Current Report on Form 8-K filed June 21, 2021 (SEC File No. 000-24206). </w:t>
            </w:r>
          </w:p>
        </w:tc>
      </w:tr>
      <w:tr>
        <w:trPr/>
        <w:tc>
          <w:tcPr>
            <w:tcW w:w="98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 </w:t>
            </w:r>
          </w:p>
        </w:tc>
      </w:tr>
      <w:tr>
        <w:trPr/>
        <w:tc>
          <w:tcPr>
            <w:tcW w:w="980" w:type="dxa"/>
            <w:tcBorders/>
            <w:shd w:fill="CCEEFF" w:val="clear"/>
            <w:tcMar>
              <w:top w:w="0" w:type="dxa"/>
              <w:left w:w="0" w:type="dxa"/>
              <w:bottom w:w="0" w:type="dxa"/>
              <w:right w:w="0" w:type="dxa"/>
            </w:tcMar>
            <w:vAlign w:val="center"/>
          </w:tcPr>
          <w:p>
            <w:pPr>
              <w:pStyle w:val="TableContents"/>
              <w:bidi w:val="0"/>
              <w:spacing w:before="0" w:after="283"/>
              <w:jc w:val="both"/>
              <w:rPr/>
            </w:pPr>
            <w:hyperlink r:id="rId6">
              <w:r>
                <w:rPr>
                  <w:rStyle w:val="InternetLink"/>
                </w:rPr>
                <w:t>4.1(a)</w:t>
              </w:r>
            </w:hyperlink>
            <w:r>
              <w:rPr/>
              <w:t xml:space="preserve"> </w:t>
            </w:r>
          </w:p>
        </w:tc>
        <w:tc>
          <w:tcPr>
            <w:tcW w:w="9225"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Articles of Amendment to its Second Amended and Restated Articles of Incorporation, effective August 4, 2022, is hereby incorporated by reference to Exhibit 3.1 to the Company’s Quarterly Report on Form 10-Q for the quarterly period ended June 30, 2022 (SEC File No. 000-24206). </w:t>
            </w:r>
          </w:p>
        </w:tc>
      </w:tr>
      <w:tr>
        <w:trPr/>
        <w:tc>
          <w:tcPr>
            <w:tcW w:w="98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 </w:t>
            </w:r>
          </w:p>
        </w:tc>
      </w:tr>
      <w:tr>
        <w:trPr/>
        <w:tc>
          <w:tcPr>
            <w:tcW w:w="980" w:type="dxa"/>
            <w:tcBorders/>
            <w:shd w:fill="CCEEFF" w:val="clear"/>
            <w:tcMar>
              <w:top w:w="0" w:type="dxa"/>
              <w:left w:w="0" w:type="dxa"/>
              <w:bottom w:w="0" w:type="dxa"/>
              <w:right w:w="0" w:type="dxa"/>
            </w:tcMar>
            <w:vAlign w:val="center"/>
          </w:tcPr>
          <w:p>
            <w:pPr>
              <w:pStyle w:val="TableContents"/>
              <w:bidi w:val="0"/>
              <w:spacing w:before="0" w:after="283"/>
              <w:jc w:val="both"/>
              <w:rPr/>
            </w:pPr>
            <w:hyperlink r:id="rId7">
              <w:r>
                <w:rPr>
                  <w:rStyle w:val="InternetLink"/>
                </w:rPr>
                <w:t>4.2</w:t>
              </w:r>
            </w:hyperlink>
            <w:r>
              <w:rPr/>
              <w:t xml:space="preserve"> </w:t>
            </w:r>
          </w:p>
        </w:tc>
        <w:tc>
          <w:tcPr>
            <w:tcW w:w="9225"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Sixth Amended and Restated Bylaws of the Company, is hereby incorporated by reference to Exhibit 3.1 to the Company’s Current Report on Form 8-K filed on December 10, 2025 (SEC File No. 000-24206). </w:t>
            </w:r>
          </w:p>
        </w:tc>
      </w:tr>
      <w:tr>
        <w:trPr/>
        <w:tc>
          <w:tcPr>
            <w:tcW w:w="98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 </w:t>
            </w:r>
          </w:p>
        </w:tc>
      </w:tr>
      <w:tr>
        <w:trPr/>
        <w:tc>
          <w:tcPr>
            <w:tcW w:w="980" w:type="dxa"/>
            <w:tcBorders/>
            <w:shd w:fill="CCEEFF" w:val="clear"/>
            <w:tcMar>
              <w:top w:w="0" w:type="dxa"/>
              <w:left w:w="0" w:type="dxa"/>
              <w:bottom w:w="0" w:type="dxa"/>
              <w:right w:w="0" w:type="dxa"/>
            </w:tcMar>
            <w:vAlign w:val="center"/>
          </w:tcPr>
          <w:p>
            <w:pPr>
              <w:pStyle w:val="TableContents"/>
              <w:bidi w:val="0"/>
              <w:spacing w:before="0" w:after="283"/>
              <w:jc w:val="both"/>
              <w:rPr/>
            </w:pPr>
            <w:hyperlink r:id="rId8">
              <w:r>
                <w:rPr>
                  <w:rStyle w:val="InternetLink"/>
                </w:rPr>
                <w:t>4.3</w:t>
              </w:r>
            </w:hyperlink>
            <w:r>
              <w:rPr/>
              <w:t xml:space="preserve"> </w:t>
            </w:r>
          </w:p>
        </w:tc>
        <w:tc>
          <w:tcPr>
            <w:tcW w:w="9225"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PENN Entertainment, Inc. 2022 Long Term Incentive Compensation Plan, as amended, is hereby incorporated by reference to Exhibit 10.2 to the Company’s Quarterly Report on Form 10-Q for the quarterly period ended June 30, 2026 (SEC File No. 000-24206). </w:t>
            </w:r>
          </w:p>
        </w:tc>
      </w:tr>
      <w:tr>
        <w:trPr/>
        <w:tc>
          <w:tcPr>
            <w:tcW w:w="98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 </w:t>
            </w:r>
          </w:p>
        </w:tc>
      </w:tr>
      <w:tr>
        <w:trPr/>
        <w:tc>
          <w:tcPr>
            <w:tcW w:w="980"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ef20079340_ex5-1.htm">
              <w:r>
                <w:rPr>
                  <w:rStyle w:val="InternetLink"/>
                </w:rPr>
                <w:t>5.1*</w:t>
              </w:r>
            </w:hyperlink>
            <w:r>
              <w:rPr/>
              <w:t xml:space="preserve"> </w:t>
            </w:r>
          </w:p>
        </w:tc>
        <w:tc>
          <w:tcPr>
            <w:tcW w:w="9225"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Opinion of Ballard Spahr LLP. </w:t>
            </w:r>
          </w:p>
        </w:tc>
      </w:tr>
      <w:tr>
        <w:trPr/>
        <w:tc>
          <w:tcPr>
            <w:tcW w:w="98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 </w:t>
            </w:r>
          </w:p>
        </w:tc>
      </w:tr>
      <w:tr>
        <w:trPr/>
        <w:tc>
          <w:tcPr>
            <w:tcW w:w="980"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ef20079340_ex23-1.htm">
              <w:r>
                <w:rPr>
                  <w:rStyle w:val="InternetLink"/>
                </w:rPr>
                <w:t>23.1*</w:t>
              </w:r>
            </w:hyperlink>
            <w:r>
              <w:rPr/>
              <w:t xml:space="preserve"> </w:t>
            </w:r>
          </w:p>
        </w:tc>
        <w:tc>
          <w:tcPr>
            <w:tcW w:w="9225"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Consent of PricewaterhouseCoopers LLP, Independent Registered Public Accounting Firm. </w:t>
            </w:r>
          </w:p>
        </w:tc>
      </w:tr>
      <w:tr>
        <w:trPr/>
        <w:tc>
          <w:tcPr>
            <w:tcW w:w="98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283"/>
              <w:jc w:val="both"/>
              <w:rPr/>
            </w:pPr>
            <w:hyperlink w:anchor="ef20079340_ex23-2.htm">
              <w:r>
                <w:rPr>
                  <w:rStyle w:val="InternetLink"/>
                  <w:spacing w:val="0"/>
                </w:rPr>
                <w:t>23.2*</w:t>
              </w:r>
            </w:hyperlink>
          </w:p>
        </w:tc>
        <w:tc>
          <w:tcPr>
            <w:tcW w:w="9225" w:type="dxa"/>
            <w:tcBorders/>
            <w:shd w:fill="CCEEFF" w:val="clear"/>
            <w:vAlign w:val="center"/>
          </w:tcPr>
          <w:p>
            <w:pPr>
              <w:pStyle w:val="TableContents"/>
              <w:bidi w:val="0"/>
              <w:spacing w:before="0" w:after="0"/>
              <w:ind w:left="0" w:right="0" w:hanging="0"/>
              <w:jc w:val="left"/>
              <w:rPr>
                <w:sz w:val="20"/>
              </w:rPr>
            </w:pPr>
            <w:r>
              <w:rPr>
                <w:sz w:val="20"/>
              </w:rPr>
              <w:t>Consent of Deloitte &amp; Touche LLP, Independent Registered Public Accounting Firm.</w:t>
            </w:r>
          </w:p>
        </w:tc>
      </w:tr>
      <w:tr>
        <w:trPr/>
        <w:tc>
          <w:tcPr>
            <w:tcW w:w="980" w:type="dxa"/>
            <w:tcBorders/>
            <w:vAlign w:val="center"/>
          </w:tcPr>
          <w:p>
            <w:pPr>
              <w:pStyle w:val="TableContents"/>
              <w:bidi w:val="0"/>
              <w:spacing w:before="0" w:after="283"/>
              <w:jc w:val="both"/>
              <w:rPr/>
            </w:pPr>
            <w:r>
              <w:rPr/>
              <w:t> </w:t>
            </w:r>
          </w:p>
        </w:tc>
        <w:tc>
          <w:tcPr>
            <w:tcW w:w="9225" w:type="dxa"/>
            <w:tcBorders/>
            <w:vAlign w:val="center"/>
          </w:tcPr>
          <w:p>
            <w:pPr>
              <w:pStyle w:val="TableContents"/>
              <w:bidi w:val="0"/>
              <w:spacing w:before="0" w:after="283"/>
              <w:jc w:val="left"/>
              <w:rPr/>
            </w:pPr>
            <w:r>
              <w:rPr/>
              <w:t> </w:t>
            </w:r>
          </w:p>
        </w:tc>
      </w:tr>
      <w:tr>
        <w:trPr/>
        <w:tc>
          <w:tcPr>
            <w:tcW w:w="980"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ef20079340_ex5-1.htm">
              <w:r>
                <w:rPr>
                  <w:rStyle w:val="InternetLink"/>
                </w:rPr>
                <w:t>23.3*</w:t>
              </w:r>
            </w:hyperlink>
            <w:r>
              <w:rPr/>
              <w:t xml:space="preserve"> </w:t>
            </w:r>
          </w:p>
        </w:tc>
        <w:tc>
          <w:tcPr>
            <w:tcW w:w="9225"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Consent of Ballard Spahr LLP (included in Exhibit 5.1). </w:t>
            </w:r>
          </w:p>
        </w:tc>
      </w:tr>
      <w:tr>
        <w:trPr/>
        <w:tc>
          <w:tcPr>
            <w:tcW w:w="98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 </w:t>
            </w:r>
          </w:p>
        </w:tc>
      </w:tr>
      <w:tr>
        <w:trPr/>
        <w:tc>
          <w:tcPr>
            <w:tcW w:w="980"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Power_of_Attorney_0">
              <w:r>
                <w:rPr>
                  <w:rStyle w:val="InternetLink"/>
                </w:rPr>
                <w:t>24.1</w:t>
              </w:r>
            </w:hyperlink>
            <w:r>
              <w:rPr/>
              <w:t xml:space="preserve"> </w:t>
            </w:r>
          </w:p>
        </w:tc>
        <w:tc>
          <w:tcPr>
            <w:tcW w:w="9225"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Powers of Attorney (included on signature page hereto). </w:t>
            </w:r>
          </w:p>
        </w:tc>
      </w:tr>
      <w:tr>
        <w:trPr/>
        <w:tc>
          <w:tcPr>
            <w:tcW w:w="980" w:type="dxa"/>
            <w:tcBorders/>
            <w:vAlign w:val="center"/>
          </w:tcPr>
          <w:p>
            <w:pPr>
              <w:pStyle w:val="TableContents"/>
              <w:bidi w:val="0"/>
              <w:spacing w:before="0" w:after="283"/>
              <w:jc w:val="left"/>
              <w:rPr/>
            </w:pPr>
            <w:r>
              <w:rPr/>
              <w:t> </w:t>
            </w:r>
          </w:p>
        </w:tc>
        <w:tc>
          <w:tcPr>
            <w:tcW w:w="9225" w:type="dxa"/>
            <w:tcBorders/>
            <w:vAlign w:val="center"/>
          </w:tcPr>
          <w:p>
            <w:pPr>
              <w:pStyle w:val="TableContents"/>
              <w:bidi w:val="0"/>
              <w:spacing w:before="0" w:after="283"/>
              <w:jc w:val="left"/>
              <w:rPr/>
            </w:pPr>
            <w:r>
              <w:rPr/>
              <w:t> </w:t>
            </w:r>
          </w:p>
        </w:tc>
      </w:tr>
      <w:tr>
        <w:trPr/>
        <w:tc>
          <w:tcPr>
            <w:tcW w:w="980"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ef20079340_ex107.htm">
              <w:r>
                <w:rPr>
                  <w:rStyle w:val="InternetLink"/>
                </w:rPr>
                <w:t>107*</w:t>
              </w:r>
            </w:hyperlink>
            <w:r>
              <w:rPr/>
              <w:t xml:space="preserve"> </w:t>
            </w:r>
          </w:p>
        </w:tc>
        <w:tc>
          <w:tcPr>
            <w:tcW w:w="9225"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Filing Fee Table. </w:t>
            </w:r>
          </w:p>
        </w:tc>
      </w:tr>
    </w:tbl>
    <w:p>
      <w:pPr>
        <w:pStyle w:val="TextBody"/>
        <w:bidi w:val="0"/>
        <w:spacing w:before="0" w:after="0"/>
        <w:jc w:val="both"/>
        <w:rPr>
          <w:color w:val="000000"/>
        </w:rPr>
      </w:pPr>
      <w:r>
        <w:rPr>
          <w:color w:val="000000"/>
        </w:rPr>
        <w:t xml:space="preserve">* Filed herewith. </w:t>
      </w:r>
    </w:p>
    <w:p>
      <w:pPr>
        <w:pStyle w:val="TextBody"/>
        <w:bidi w:val="0"/>
        <w:spacing w:before="0" w:after="0"/>
        <w:jc w:val="left"/>
        <w:rPr>
          <w:color w:val="000000"/>
        </w:rPr>
      </w:pPr>
      <w:r>
        <w:rPr>
          <w:color w:val="000000"/>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color w:val="000000"/>
        </w:rPr>
      </w:pPr>
      <w:r>
        <w:rPr>
          <w:b/>
          <w:color w:val="000000"/>
        </w:rPr>
        <w:t>SIGNATURES</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Wyomissing, Commonwealth of Pennsylvania, on August 10, 2026. </w:t>
      </w:r>
    </w:p>
    <w:p>
      <w:pPr>
        <w:pStyle w:val="TextBody"/>
        <w:bidi w:val="0"/>
        <w:spacing w:before="0" w:after="0"/>
        <w:jc w:val="left"/>
        <w:rPr>
          <w:color w:val="000000"/>
        </w:rPr>
      </w:pPr>
      <w:r>
        <w:rPr>
          <w:color w:val="000000"/>
        </w:rPr>
        <w:t xml:space="preserve">  </w:t>
      </w:r>
    </w:p>
    <w:tbl>
      <w:tblPr>
        <w:tblW w:w="7982" w:type="dxa"/>
        <w:jc w:val="left"/>
        <w:tblInd w:w="0" w:type="dxa"/>
        <w:tblLayout w:type="fixed"/>
        <w:tblCellMar>
          <w:top w:w="28" w:type="dxa"/>
          <w:left w:w="28" w:type="dxa"/>
          <w:bottom w:w="28" w:type="dxa"/>
          <w:right w:w="28" w:type="dxa"/>
        </w:tblCellMar>
      </w:tblPr>
      <w:tblGrid>
        <w:gridCol w:w="811"/>
        <w:gridCol w:w="7171"/>
      </w:tblGrid>
      <w:tr>
        <w:trPr/>
        <w:tc>
          <w:tcPr>
            <w:tcW w:w="811" w:type="dxa"/>
            <w:tcBorders/>
            <w:vAlign w:val="center"/>
          </w:tcPr>
          <w:p>
            <w:pPr>
              <w:pStyle w:val="TableContents"/>
              <w:bidi w:val="0"/>
              <w:spacing w:before="0" w:after="283"/>
              <w:jc w:val="left"/>
              <w:rPr/>
            </w:pPr>
            <w:r>
              <w:rPr/>
              <w:t> </w:t>
            </w:r>
          </w:p>
        </w:tc>
        <w:tc>
          <w:tcPr>
            <w:tcW w:w="7171" w:type="dxa"/>
            <w:tcBorders/>
            <w:vAlign w:val="center"/>
          </w:tcPr>
          <w:p>
            <w:pPr>
              <w:pStyle w:val="TableContents"/>
              <w:bidi w:val="0"/>
              <w:spacing w:before="0" w:after="283"/>
              <w:jc w:val="left"/>
              <w:rPr/>
            </w:pPr>
            <w:r>
              <w:rPr/>
              <w:t> </w:t>
            </w:r>
          </w:p>
        </w:tc>
      </w:tr>
      <w:tr>
        <w:trPr/>
        <w:tc>
          <w:tcPr>
            <w:tcW w:w="7982" w:type="dxa"/>
            <w:gridSpan w:val="2"/>
            <w:tcBorders/>
            <w:tcMar>
              <w:top w:w="0" w:type="dxa"/>
              <w:left w:w="0" w:type="dxa"/>
              <w:bottom w:w="0" w:type="dxa"/>
              <w:right w:w="0" w:type="dxa"/>
            </w:tcMar>
            <w:vAlign w:val="center"/>
          </w:tcPr>
          <w:p>
            <w:pPr>
              <w:pStyle w:val="TableContents"/>
              <w:bidi w:val="0"/>
              <w:spacing w:before="0" w:after="283"/>
              <w:jc w:val="both"/>
              <w:rPr/>
            </w:pPr>
            <w:r>
              <w:rPr>
                <w:b/>
              </w:rPr>
              <w:t>PENN ENTERTAINMENT, INC.</w:t>
            </w:r>
            <w:r>
              <w:rPr/>
              <w:t xml:space="preserve"> </w:t>
            </w:r>
          </w:p>
        </w:tc>
      </w:tr>
      <w:tr>
        <w:trPr/>
        <w:tc>
          <w:tcPr>
            <w:tcW w:w="811" w:type="dxa"/>
            <w:tcBorders/>
            <w:vAlign w:val="center"/>
          </w:tcPr>
          <w:p>
            <w:pPr>
              <w:pStyle w:val="TableContents"/>
              <w:bidi w:val="0"/>
              <w:spacing w:before="0" w:after="283"/>
              <w:jc w:val="left"/>
              <w:rPr/>
            </w:pPr>
            <w:r>
              <w:rPr/>
              <w:t> </w:t>
            </w:r>
          </w:p>
        </w:tc>
        <w:tc>
          <w:tcPr>
            <w:tcW w:w="7171"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xml:space="preserve">By: </w:t>
            </w:r>
          </w:p>
        </w:tc>
        <w:tc>
          <w:tcPr>
            <w:tcW w:w="7171" w:type="dxa"/>
            <w:tcBorders>
              <w:bottom w:val="single" w:sz="12" w:space="0" w:color="000000"/>
            </w:tcBorders>
            <w:tcMar>
              <w:top w:w="0" w:type="dxa"/>
              <w:left w:w="0" w:type="dxa"/>
              <w:right w:w="0" w:type="dxa"/>
            </w:tcMar>
            <w:vAlign w:val="center"/>
          </w:tcPr>
          <w:p>
            <w:pPr>
              <w:pStyle w:val="TableContents"/>
              <w:bidi w:val="0"/>
              <w:spacing w:before="0" w:after="283"/>
              <w:jc w:val="both"/>
              <w:rPr/>
            </w:pPr>
            <w:r>
              <w:rPr/>
              <w:t xml:space="preserve">/s/ Christopher Rogers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xml:space="preserve">Name: </w:t>
            </w:r>
          </w:p>
        </w:tc>
        <w:tc>
          <w:tcPr>
            <w:tcW w:w="7171" w:type="dxa"/>
            <w:tcBorders/>
            <w:tcMar>
              <w:top w:w="0" w:type="dxa"/>
              <w:left w:w="0" w:type="dxa"/>
              <w:bottom w:w="0" w:type="dxa"/>
              <w:right w:w="0" w:type="dxa"/>
            </w:tcMar>
            <w:vAlign w:val="center"/>
          </w:tcPr>
          <w:p>
            <w:pPr>
              <w:pStyle w:val="TableContents"/>
              <w:bidi w:val="0"/>
              <w:spacing w:before="0" w:after="283"/>
              <w:jc w:val="both"/>
              <w:rPr/>
            </w:pPr>
            <w:r>
              <w:rPr/>
              <w:t xml:space="preserve">Christopher Rogers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xml:space="preserve">Title: </w:t>
            </w:r>
          </w:p>
        </w:tc>
        <w:tc>
          <w:tcPr>
            <w:tcW w:w="7171" w:type="dxa"/>
            <w:tcBorders/>
            <w:tcMar>
              <w:top w:w="0" w:type="dxa"/>
              <w:left w:w="0" w:type="dxa"/>
              <w:bottom w:w="0" w:type="dxa"/>
              <w:right w:w="0" w:type="dxa"/>
            </w:tcMar>
            <w:vAlign w:val="center"/>
          </w:tcPr>
          <w:p>
            <w:pPr>
              <w:pStyle w:val="TableContents"/>
              <w:bidi w:val="0"/>
              <w:spacing w:before="0" w:after="283"/>
              <w:jc w:val="both"/>
              <w:rPr/>
            </w:pPr>
            <w:r>
              <w:rPr/>
              <w:t xml:space="preserve">Executive Vice President, Chief Strategy and Legal Officer and Secretary </w:t>
            </w:r>
          </w:p>
        </w:tc>
      </w:tr>
    </w:tbl>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bookmarkStart w:id="2" w:name="Power_of_Attorney_0"/>
      <w:bookmarkEnd w:id="2"/>
      <w:r>
        <w:rPr>
          <w:b/>
          <w:color w:val="000000"/>
        </w:rPr>
        <w:t>POWER OF ATTORNEY</w:t>
      </w:r>
      <w:r>
        <w:rPr>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xml:space="preserve">BE IT KNOWN BY THESE PRESENT, that each person whose signature appears below constitutes and appoints Jay A. Snowden and Christopher Rogers and each of them, his or her true and lawful attorney(s)-in-fact and agent(s), with full power of substitution and resubstitution, for him or her and in his or her name, place and stead, in any and all capacities, to sign any or all amendments to this Registration Statement and to file the same, with all exhibits and schedules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may lawfully do or cause to be done by virtue hereof. </w:t>
      </w:r>
    </w:p>
    <w:p>
      <w:pPr>
        <w:pStyle w:val="TextBody"/>
        <w:bidi w:val="0"/>
        <w:spacing w:before="0" w:after="0"/>
        <w:jc w:val="left"/>
        <w:rPr>
          <w:color w:val="000000"/>
        </w:rPr>
      </w:pPr>
      <w:r>
        <w:rPr>
          <w:color w:val="000000"/>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color w:val="000000"/>
        </w:rPr>
      </w:pPr>
      <w:r>
        <w:rPr>
          <w:color w:val="000000"/>
        </w:rPr>
        <w:t xml:space="preserve">Pursuant to the requirements of the Securities Act of 1933, this Registration Statement has been signed by the following persons in the capacities indicated on August 10, 2026. </w:t>
      </w:r>
    </w:p>
    <w:p>
      <w:pPr>
        <w:pStyle w:val="TextBody"/>
        <w:bidi w:val="0"/>
        <w:spacing w:before="0" w:after="0"/>
        <w:jc w:val="left"/>
        <w:rPr>
          <w:color w:val="000000"/>
        </w:rPr>
      </w:pPr>
      <w:r>
        <w:rPr>
          <w:color w:val="000000"/>
        </w:rPr>
        <w:t xml:space="preserve">  </w:t>
      </w:r>
    </w:p>
    <w:tbl>
      <w:tblPr>
        <w:tblW w:w="7708" w:type="dxa"/>
        <w:jc w:val="left"/>
        <w:tblInd w:w="0" w:type="dxa"/>
        <w:tblLayout w:type="fixed"/>
        <w:tblCellMar>
          <w:top w:w="28" w:type="dxa"/>
          <w:left w:w="28" w:type="dxa"/>
          <w:bottom w:w="28" w:type="dxa"/>
          <w:right w:w="28" w:type="dxa"/>
        </w:tblCellMar>
      </w:tblPr>
      <w:tblGrid>
        <w:gridCol w:w="2311"/>
        <w:gridCol w:w="146"/>
        <w:gridCol w:w="525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sz w:val="4"/>
                <w:szCs w:val="4"/>
              </w:rPr>
            </w:pPr>
            <w:r>
              <w:rPr>
                <w:sz w:val="4"/>
                <w:szCs w:val="4"/>
              </w:rPr>
            </w:r>
          </w:p>
        </w:tc>
      </w:tr>
      <w:tr>
        <w:trPr/>
        <w:tc>
          <w:tcPr>
            <w:tcW w:w="231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Signature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5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b/>
              </w:rPr>
              <w:t>Title</w:t>
            </w:r>
            <w:r>
              <w:rPr/>
              <w:t xml:space="preserve"> </w:t>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231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Jay A. Snowden </w:t>
            </w:r>
          </w:p>
        </w:tc>
        <w:tc>
          <w:tcPr>
            <w:tcW w:w="146" w:type="dxa"/>
            <w:vMerge w:val="restart"/>
            <w:tcBorders/>
            <w:vAlign w:val="center"/>
          </w:tcPr>
          <w:p>
            <w:pPr>
              <w:pStyle w:val="TableContents"/>
              <w:bidi w:val="0"/>
              <w:spacing w:before="0" w:after="283"/>
              <w:jc w:val="center"/>
              <w:rPr/>
            </w:pPr>
            <w:r>
              <w:rPr/>
              <w:t> </w:t>
            </w:r>
          </w:p>
        </w:tc>
        <w:tc>
          <w:tcPr>
            <w:tcW w:w="5251" w:type="dxa"/>
            <w:vMerge w:val="restart"/>
            <w:tcBorders/>
            <w:tcMar>
              <w:top w:w="0" w:type="dxa"/>
              <w:left w:w="0" w:type="dxa"/>
              <w:bottom w:w="0" w:type="dxa"/>
              <w:right w:w="0" w:type="dxa"/>
            </w:tcMar>
            <w:vAlign w:val="center"/>
          </w:tcPr>
          <w:p>
            <w:pPr>
              <w:pStyle w:val="TableContents"/>
              <w:bidi w:val="0"/>
              <w:spacing w:before="0" w:after="283"/>
              <w:jc w:val="center"/>
              <w:rPr/>
            </w:pPr>
            <w:r>
              <w:rPr/>
              <w:t xml:space="preserve">Chief Executive Officer, President and Director </w:t>
              <w:br/>
              <w:t xml:space="preserve">(Principal Executive Officer) </w:t>
            </w:r>
          </w:p>
        </w:tc>
      </w:tr>
      <w:tr>
        <w:trPr/>
        <w:tc>
          <w:tcPr>
            <w:tcW w:w="2311" w:type="dxa"/>
            <w:tcBorders/>
            <w:tcMar>
              <w:top w:w="0" w:type="dxa"/>
              <w:left w:w="0" w:type="dxa"/>
              <w:bottom w:w="0" w:type="dxa"/>
              <w:right w:w="0" w:type="dxa"/>
            </w:tcMar>
            <w:vAlign w:val="center"/>
          </w:tcPr>
          <w:p>
            <w:pPr>
              <w:pStyle w:val="TableContents"/>
              <w:bidi w:val="0"/>
              <w:spacing w:before="0" w:after="283"/>
              <w:jc w:val="center"/>
              <w:rPr/>
            </w:pPr>
            <w:r>
              <w:rPr/>
              <w:t xml:space="preserve">Jay A. Snowden </w:t>
            </w:r>
          </w:p>
        </w:tc>
        <w:tc>
          <w:tcPr>
            <w:tcW w:w="146" w:type="dxa"/>
            <w:vMerge w:val="continue"/>
            <w:tcBorders/>
            <w:vAlign w:val="center"/>
          </w:tcPr>
          <w:p>
            <w:pPr>
              <w:pStyle w:val="Normal"/>
              <w:bidi w:val="0"/>
              <w:jc w:val="left"/>
              <w:rPr/>
            </w:pPr>
            <w:r>
              <w:rPr/>
            </w:r>
          </w:p>
        </w:tc>
        <w:tc>
          <w:tcPr>
            <w:tcW w:w="5251" w:type="dxa"/>
            <w:vMerge w:val="continue"/>
            <w:tcBorders/>
            <w:tcMar>
              <w:top w:w="0" w:type="dxa"/>
              <w:left w:w="0" w:type="dxa"/>
              <w:bottom w:w="0" w:type="dxa"/>
              <w:right w:w="0" w:type="dxa"/>
            </w:tcMar>
            <w:vAlign w:val="center"/>
          </w:tcPr>
          <w:p>
            <w:pPr>
              <w:pStyle w:val="Normal"/>
              <w:bidi w:val="0"/>
              <w:jc w:val="left"/>
              <w:rPr/>
            </w:pPr>
            <w:r>
              <w:rPr/>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231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Felicia R. Hendrix </w:t>
            </w:r>
          </w:p>
        </w:tc>
        <w:tc>
          <w:tcPr>
            <w:tcW w:w="146" w:type="dxa"/>
            <w:vMerge w:val="restart"/>
            <w:tcBorders/>
            <w:vAlign w:val="center"/>
          </w:tcPr>
          <w:p>
            <w:pPr>
              <w:pStyle w:val="TableContents"/>
              <w:bidi w:val="0"/>
              <w:spacing w:before="0" w:after="283"/>
              <w:jc w:val="center"/>
              <w:rPr/>
            </w:pPr>
            <w:r>
              <w:rPr/>
              <w:t> </w:t>
            </w:r>
          </w:p>
        </w:tc>
        <w:tc>
          <w:tcPr>
            <w:tcW w:w="5251" w:type="dxa"/>
            <w:vMerge w:val="restart"/>
            <w:tcBorders/>
            <w:tcMar>
              <w:top w:w="0" w:type="dxa"/>
              <w:left w:w="0" w:type="dxa"/>
              <w:bottom w:w="0" w:type="dxa"/>
              <w:right w:w="0" w:type="dxa"/>
            </w:tcMar>
            <w:vAlign w:val="center"/>
          </w:tcPr>
          <w:p>
            <w:pPr>
              <w:pStyle w:val="TableContents"/>
              <w:bidi w:val="0"/>
              <w:spacing w:before="0" w:after="283"/>
              <w:jc w:val="center"/>
              <w:rPr/>
            </w:pPr>
            <w:r>
              <w:rPr/>
              <w:t xml:space="preserve">Executive Vice President and Chief Financial Officer </w:t>
              <w:br/>
              <w:t xml:space="preserve">(Principal Financial and Accounting Officer) </w:t>
            </w:r>
          </w:p>
        </w:tc>
      </w:tr>
      <w:tr>
        <w:trPr/>
        <w:tc>
          <w:tcPr>
            <w:tcW w:w="2311" w:type="dxa"/>
            <w:tcBorders/>
            <w:tcMar>
              <w:top w:w="0" w:type="dxa"/>
              <w:left w:w="0" w:type="dxa"/>
              <w:bottom w:w="0" w:type="dxa"/>
              <w:right w:w="0" w:type="dxa"/>
            </w:tcMar>
            <w:vAlign w:val="center"/>
          </w:tcPr>
          <w:p>
            <w:pPr>
              <w:pStyle w:val="TableContents"/>
              <w:bidi w:val="0"/>
              <w:spacing w:before="0" w:after="283"/>
              <w:jc w:val="center"/>
              <w:rPr/>
            </w:pPr>
            <w:r>
              <w:rPr/>
              <w:t xml:space="preserve">Felicia R. Hendrix </w:t>
            </w:r>
          </w:p>
        </w:tc>
        <w:tc>
          <w:tcPr>
            <w:tcW w:w="146" w:type="dxa"/>
            <w:vMerge w:val="continue"/>
            <w:tcBorders/>
            <w:vAlign w:val="center"/>
          </w:tcPr>
          <w:p>
            <w:pPr>
              <w:pStyle w:val="Normal"/>
              <w:bidi w:val="0"/>
              <w:jc w:val="left"/>
              <w:rPr/>
            </w:pPr>
            <w:r>
              <w:rPr/>
            </w:r>
          </w:p>
        </w:tc>
        <w:tc>
          <w:tcPr>
            <w:tcW w:w="5251" w:type="dxa"/>
            <w:vMerge w:val="continue"/>
            <w:tcBorders/>
            <w:tcMar>
              <w:top w:w="0" w:type="dxa"/>
              <w:left w:w="0" w:type="dxa"/>
              <w:bottom w:w="0" w:type="dxa"/>
              <w:right w:w="0" w:type="dxa"/>
            </w:tcMar>
            <w:vAlign w:val="center"/>
          </w:tcPr>
          <w:p>
            <w:pPr>
              <w:pStyle w:val="Normal"/>
              <w:bidi w:val="0"/>
              <w:jc w:val="left"/>
              <w:rPr/>
            </w:pPr>
            <w:r>
              <w:rPr/>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231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David A. Handler </w:t>
            </w:r>
          </w:p>
        </w:tc>
        <w:tc>
          <w:tcPr>
            <w:tcW w:w="146" w:type="dxa"/>
            <w:vMerge w:val="restart"/>
            <w:tcBorders/>
            <w:vAlign w:val="center"/>
          </w:tcPr>
          <w:p>
            <w:pPr>
              <w:pStyle w:val="TableContents"/>
              <w:bidi w:val="0"/>
              <w:spacing w:before="0" w:after="283"/>
              <w:jc w:val="center"/>
              <w:rPr/>
            </w:pPr>
            <w:r>
              <w:rPr/>
              <w:t> </w:t>
            </w:r>
          </w:p>
        </w:tc>
        <w:tc>
          <w:tcPr>
            <w:tcW w:w="5251" w:type="dxa"/>
            <w:vMerge w:val="restart"/>
            <w:tcBorders/>
            <w:tcMar>
              <w:top w:w="0" w:type="dxa"/>
              <w:left w:w="0" w:type="dxa"/>
              <w:bottom w:w="0" w:type="dxa"/>
              <w:right w:w="0" w:type="dxa"/>
            </w:tcMar>
            <w:vAlign w:val="center"/>
          </w:tcPr>
          <w:p>
            <w:pPr>
              <w:pStyle w:val="TableContents"/>
              <w:bidi w:val="0"/>
              <w:spacing w:before="0" w:after="283"/>
              <w:jc w:val="center"/>
              <w:rPr/>
            </w:pPr>
            <w:r>
              <w:rPr/>
              <w:t xml:space="preserve">Director, Board Chair </w:t>
            </w:r>
          </w:p>
        </w:tc>
      </w:tr>
      <w:tr>
        <w:trPr/>
        <w:tc>
          <w:tcPr>
            <w:tcW w:w="2311" w:type="dxa"/>
            <w:tcBorders/>
            <w:tcMar>
              <w:top w:w="0" w:type="dxa"/>
              <w:left w:w="0" w:type="dxa"/>
              <w:bottom w:w="0" w:type="dxa"/>
              <w:right w:w="0" w:type="dxa"/>
            </w:tcMar>
            <w:vAlign w:val="center"/>
          </w:tcPr>
          <w:p>
            <w:pPr>
              <w:pStyle w:val="TableContents"/>
              <w:bidi w:val="0"/>
              <w:spacing w:before="0" w:after="283"/>
              <w:jc w:val="center"/>
              <w:rPr/>
            </w:pPr>
            <w:r>
              <w:rPr/>
              <w:t xml:space="preserve">David A. Handler </w:t>
            </w:r>
          </w:p>
        </w:tc>
        <w:tc>
          <w:tcPr>
            <w:tcW w:w="146" w:type="dxa"/>
            <w:vMerge w:val="continue"/>
            <w:tcBorders/>
            <w:vAlign w:val="center"/>
          </w:tcPr>
          <w:p>
            <w:pPr>
              <w:pStyle w:val="Normal"/>
              <w:bidi w:val="0"/>
              <w:jc w:val="left"/>
              <w:rPr/>
            </w:pPr>
            <w:r>
              <w:rPr/>
            </w:r>
          </w:p>
        </w:tc>
        <w:tc>
          <w:tcPr>
            <w:tcW w:w="5251" w:type="dxa"/>
            <w:vMerge w:val="continue"/>
            <w:tcBorders/>
            <w:tcMar>
              <w:top w:w="0" w:type="dxa"/>
              <w:left w:w="0" w:type="dxa"/>
              <w:bottom w:w="0" w:type="dxa"/>
              <w:right w:w="0" w:type="dxa"/>
            </w:tcMar>
            <w:vAlign w:val="center"/>
          </w:tcPr>
          <w:p>
            <w:pPr>
              <w:pStyle w:val="Normal"/>
              <w:bidi w:val="0"/>
              <w:jc w:val="left"/>
              <w:rPr/>
            </w:pPr>
            <w:r>
              <w:rPr/>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231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Heather Ace </w:t>
            </w:r>
          </w:p>
        </w:tc>
        <w:tc>
          <w:tcPr>
            <w:tcW w:w="146" w:type="dxa"/>
            <w:vMerge w:val="restart"/>
            <w:tcBorders/>
            <w:vAlign w:val="center"/>
          </w:tcPr>
          <w:p>
            <w:pPr>
              <w:pStyle w:val="TableContents"/>
              <w:bidi w:val="0"/>
              <w:spacing w:before="0" w:after="283"/>
              <w:jc w:val="center"/>
              <w:rPr/>
            </w:pPr>
            <w:r>
              <w:rPr/>
              <w:t> </w:t>
            </w:r>
          </w:p>
        </w:tc>
        <w:tc>
          <w:tcPr>
            <w:tcW w:w="5251" w:type="dxa"/>
            <w:vMerge w:val="restart"/>
            <w:tcBorders/>
            <w:tcMar>
              <w:top w:w="0" w:type="dxa"/>
              <w:left w:w="0" w:type="dxa"/>
              <w:bottom w:w="0" w:type="dxa"/>
              <w:right w:w="0" w:type="dxa"/>
            </w:tcMar>
            <w:vAlign w:val="center"/>
          </w:tcPr>
          <w:p>
            <w:pPr>
              <w:pStyle w:val="TableContents"/>
              <w:bidi w:val="0"/>
              <w:spacing w:before="0" w:after="283"/>
              <w:jc w:val="center"/>
              <w:rPr/>
            </w:pPr>
            <w:r>
              <w:rPr/>
              <w:t xml:space="preserve">Director </w:t>
            </w:r>
          </w:p>
        </w:tc>
      </w:tr>
      <w:tr>
        <w:trPr/>
        <w:tc>
          <w:tcPr>
            <w:tcW w:w="2311" w:type="dxa"/>
            <w:tcBorders/>
            <w:tcMar>
              <w:top w:w="0" w:type="dxa"/>
              <w:left w:w="0" w:type="dxa"/>
              <w:bottom w:w="0" w:type="dxa"/>
              <w:right w:w="0" w:type="dxa"/>
            </w:tcMar>
            <w:vAlign w:val="center"/>
          </w:tcPr>
          <w:p>
            <w:pPr>
              <w:pStyle w:val="TableContents"/>
              <w:bidi w:val="0"/>
              <w:spacing w:before="0" w:after="283"/>
              <w:jc w:val="center"/>
              <w:rPr/>
            </w:pPr>
            <w:r>
              <w:rPr/>
              <w:t xml:space="preserve">Heather Ace </w:t>
            </w:r>
          </w:p>
        </w:tc>
        <w:tc>
          <w:tcPr>
            <w:tcW w:w="146" w:type="dxa"/>
            <w:vMerge w:val="continue"/>
            <w:tcBorders/>
            <w:vAlign w:val="center"/>
          </w:tcPr>
          <w:p>
            <w:pPr>
              <w:pStyle w:val="Normal"/>
              <w:bidi w:val="0"/>
              <w:jc w:val="left"/>
              <w:rPr/>
            </w:pPr>
            <w:r>
              <w:rPr/>
            </w:r>
          </w:p>
        </w:tc>
        <w:tc>
          <w:tcPr>
            <w:tcW w:w="5251" w:type="dxa"/>
            <w:vMerge w:val="continue"/>
            <w:tcBorders/>
            <w:tcMar>
              <w:top w:w="0" w:type="dxa"/>
              <w:left w:w="0" w:type="dxa"/>
              <w:bottom w:w="0" w:type="dxa"/>
              <w:right w:w="0" w:type="dxa"/>
            </w:tcMar>
            <w:vAlign w:val="center"/>
          </w:tcPr>
          <w:p>
            <w:pPr>
              <w:pStyle w:val="Normal"/>
              <w:bidi w:val="0"/>
              <w:jc w:val="left"/>
              <w:rPr/>
            </w:pPr>
            <w:r>
              <w:rPr/>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231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Vimla Black-Gupta </w:t>
            </w:r>
          </w:p>
        </w:tc>
        <w:tc>
          <w:tcPr>
            <w:tcW w:w="146" w:type="dxa"/>
            <w:vMerge w:val="restart"/>
            <w:tcBorders/>
            <w:vAlign w:val="center"/>
          </w:tcPr>
          <w:p>
            <w:pPr>
              <w:pStyle w:val="TableContents"/>
              <w:bidi w:val="0"/>
              <w:spacing w:before="0" w:after="283"/>
              <w:jc w:val="center"/>
              <w:rPr/>
            </w:pPr>
            <w:r>
              <w:rPr/>
              <w:t> </w:t>
            </w:r>
          </w:p>
        </w:tc>
        <w:tc>
          <w:tcPr>
            <w:tcW w:w="5251" w:type="dxa"/>
            <w:vMerge w:val="restart"/>
            <w:tcBorders/>
            <w:tcMar>
              <w:top w:w="0" w:type="dxa"/>
              <w:left w:w="0" w:type="dxa"/>
              <w:bottom w:w="0" w:type="dxa"/>
              <w:right w:w="0" w:type="dxa"/>
            </w:tcMar>
            <w:vAlign w:val="center"/>
          </w:tcPr>
          <w:p>
            <w:pPr>
              <w:pStyle w:val="TableContents"/>
              <w:bidi w:val="0"/>
              <w:spacing w:before="0" w:after="283"/>
              <w:jc w:val="center"/>
              <w:rPr/>
            </w:pPr>
            <w:r>
              <w:rPr/>
              <w:t xml:space="preserve">Director </w:t>
            </w:r>
          </w:p>
        </w:tc>
      </w:tr>
      <w:tr>
        <w:trPr/>
        <w:tc>
          <w:tcPr>
            <w:tcW w:w="2311" w:type="dxa"/>
            <w:tcBorders/>
            <w:tcMar>
              <w:top w:w="0" w:type="dxa"/>
              <w:left w:w="0" w:type="dxa"/>
              <w:bottom w:w="0" w:type="dxa"/>
              <w:right w:w="0" w:type="dxa"/>
            </w:tcMar>
            <w:vAlign w:val="center"/>
          </w:tcPr>
          <w:p>
            <w:pPr>
              <w:pStyle w:val="TableContents"/>
              <w:bidi w:val="0"/>
              <w:spacing w:before="0" w:after="283"/>
              <w:jc w:val="center"/>
              <w:rPr/>
            </w:pPr>
            <w:r>
              <w:rPr/>
              <w:t xml:space="preserve">Vimla Black-Gupta </w:t>
            </w:r>
          </w:p>
        </w:tc>
        <w:tc>
          <w:tcPr>
            <w:tcW w:w="146" w:type="dxa"/>
            <w:vMerge w:val="continue"/>
            <w:tcBorders/>
            <w:vAlign w:val="center"/>
          </w:tcPr>
          <w:p>
            <w:pPr>
              <w:pStyle w:val="Normal"/>
              <w:bidi w:val="0"/>
              <w:jc w:val="left"/>
              <w:rPr/>
            </w:pPr>
            <w:r>
              <w:rPr/>
            </w:r>
          </w:p>
        </w:tc>
        <w:tc>
          <w:tcPr>
            <w:tcW w:w="5251" w:type="dxa"/>
            <w:vMerge w:val="continue"/>
            <w:tcBorders/>
            <w:tcMar>
              <w:top w:w="0" w:type="dxa"/>
              <w:left w:w="0" w:type="dxa"/>
              <w:bottom w:w="0" w:type="dxa"/>
              <w:right w:w="0" w:type="dxa"/>
            </w:tcMar>
            <w:vAlign w:val="center"/>
          </w:tcPr>
          <w:p>
            <w:pPr>
              <w:pStyle w:val="Normal"/>
              <w:bidi w:val="0"/>
              <w:jc w:val="left"/>
              <w:rPr/>
            </w:pPr>
            <w:r>
              <w:rPr/>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231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Anuj Dhanda </w:t>
            </w:r>
          </w:p>
        </w:tc>
        <w:tc>
          <w:tcPr>
            <w:tcW w:w="146" w:type="dxa"/>
            <w:tcBorders/>
            <w:vAlign w:val="center"/>
          </w:tcPr>
          <w:p>
            <w:pPr>
              <w:pStyle w:val="TableContents"/>
              <w:bidi w:val="0"/>
              <w:spacing w:before="0" w:after="283"/>
              <w:jc w:val="center"/>
              <w:rPr/>
            </w:pPr>
            <w:r>
              <w:rPr/>
              <w:t> </w:t>
            </w:r>
          </w:p>
        </w:tc>
        <w:tc>
          <w:tcPr>
            <w:tcW w:w="5251" w:type="dxa"/>
            <w:tcBorders/>
            <w:tcMar>
              <w:top w:w="0" w:type="dxa"/>
              <w:left w:w="0" w:type="dxa"/>
              <w:bottom w:w="0" w:type="dxa"/>
              <w:right w:w="0" w:type="dxa"/>
            </w:tcMar>
            <w:vAlign w:val="center"/>
          </w:tcPr>
          <w:p>
            <w:pPr>
              <w:pStyle w:val="TableContents"/>
              <w:bidi w:val="0"/>
              <w:spacing w:before="0" w:after="283"/>
              <w:jc w:val="center"/>
              <w:rPr/>
            </w:pPr>
            <w:r>
              <w:rPr/>
              <w:t xml:space="preserve">Director </w:t>
            </w:r>
          </w:p>
        </w:tc>
      </w:tr>
      <w:tr>
        <w:trPr/>
        <w:tc>
          <w:tcPr>
            <w:tcW w:w="2311" w:type="dxa"/>
            <w:tcBorders/>
            <w:tcMar>
              <w:top w:w="0" w:type="dxa"/>
              <w:left w:w="0" w:type="dxa"/>
              <w:bottom w:w="0" w:type="dxa"/>
              <w:right w:w="0" w:type="dxa"/>
            </w:tcMar>
            <w:vAlign w:val="center"/>
          </w:tcPr>
          <w:p>
            <w:pPr>
              <w:pStyle w:val="TableContents"/>
              <w:bidi w:val="0"/>
              <w:spacing w:before="0" w:after="283"/>
              <w:jc w:val="center"/>
              <w:rPr/>
            </w:pPr>
            <w:r>
              <w:rPr/>
              <w:t xml:space="preserve">Anuj Dhanda </w:t>
            </w:r>
          </w:p>
        </w:tc>
        <w:tc>
          <w:tcPr>
            <w:tcW w:w="14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bl>
    <w:tbl>
      <w:tblPr>
        <w:tblW w:w="3358" w:type="dxa"/>
        <w:jc w:val="left"/>
        <w:tblInd w:w="0" w:type="dxa"/>
        <w:tblLayout w:type="fixed"/>
        <w:tblCellMar>
          <w:top w:w="28" w:type="dxa"/>
          <w:left w:w="28" w:type="dxa"/>
          <w:bottom w:w="28" w:type="dxa"/>
          <w:right w:w="28" w:type="dxa"/>
        </w:tblCellMar>
      </w:tblPr>
      <w:tblGrid>
        <w:gridCol w:w="2221"/>
        <w:gridCol w:w="146"/>
        <w:gridCol w:w="991"/>
      </w:tblGrid>
      <w:tr>
        <w:trPr/>
        <w:tc>
          <w:tcPr>
            <w:tcW w:w="22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r>
      <w:tr>
        <w:trPr/>
        <w:tc>
          <w:tcPr>
            <w:tcW w:w="222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Jeffrey Fox </w:t>
            </w:r>
          </w:p>
        </w:tc>
        <w:tc>
          <w:tcPr>
            <w:tcW w:w="146" w:type="dxa"/>
            <w:vMerge w:val="restart"/>
            <w:tcBorders/>
            <w:vAlign w:val="center"/>
          </w:tcPr>
          <w:p>
            <w:pPr>
              <w:pStyle w:val="TableContents"/>
              <w:bidi w:val="0"/>
              <w:spacing w:before="0" w:after="283"/>
              <w:jc w:val="center"/>
              <w:rPr/>
            </w:pPr>
            <w:r>
              <w:rPr/>
              <w:t> </w:t>
            </w:r>
          </w:p>
        </w:tc>
        <w:tc>
          <w:tcPr>
            <w:tcW w:w="991" w:type="dxa"/>
            <w:vMerge w:val="restart"/>
            <w:tcBorders/>
            <w:tcMar>
              <w:top w:w="0" w:type="dxa"/>
              <w:left w:w="0" w:type="dxa"/>
              <w:bottom w:w="0" w:type="dxa"/>
              <w:right w:w="0" w:type="dxa"/>
            </w:tcMar>
            <w:vAlign w:val="center"/>
          </w:tcPr>
          <w:p>
            <w:pPr>
              <w:pStyle w:val="TableContents"/>
              <w:bidi w:val="0"/>
              <w:spacing w:before="0" w:after="283"/>
              <w:jc w:val="center"/>
              <w:rPr/>
            </w:pPr>
            <w:r>
              <w:rPr/>
              <w:t xml:space="preserve">Director </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pPr>
            <w:r>
              <w:rPr/>
              <w:t xml:space="preserve">Jeffrey Fox </w:t>
            </w:r>
          </w:p>
        </w:tc>
        <w:tc>
          <w:tcPr>
            <w:tcW w:w="146" w:type="dxa"/>
            <w:vMerge w:val="continue"/>
            <w:tcBorders/>
            <w:vAlign w:val="center"/>
          </w:tcPr>
          <w:p>
            <w:pPr>
              <w:pStyle w:val="Normal"/>
              <w:bidi w:val="0"/>
              <w:jc w:val="left"/>
              <w:rPr/>
            </w:pPr>
            <w:r>
              <w:rPr/>
            </w:r>
          </w:p>
        </w:tc>
        <w:tc>
          <w:tcPr>
            <w:tcW w:w="991" w:type="dxa"/>
            <w:vMerge w:val="continue"/>
            <w:tcBorders/>
            <w:tcMar>
              <w:top w:w="0" w:type="dxa"/>
              <w:left w:w="0" w:type="dxa"/>
              <w:bottom w:w="0" w:type="dxa"/>
              <w:right w:w="0" w:type="dxa"/>
            </w:tcMar>
            <w:vAlign w:val="center"/>
          </w:tcPr>
          <w:p>
            <w:pPr>
              <w:pStyle w:val="Normal"/>
              <w:bidi w:val="0"/>
              <w:jc w:val="left"/>
              <w:rPr/>
            </w:pPr>
            <w:r>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Johnny Hartnett </w:t>
            </w:r>
          </w:p>
        </w:tc>
        <w:tc>
          <w:tcPr>
            <w:tcW w:w="146" w:type="dxa"/>
            <w:vMerge w:val="restart"/>
            <w:tcBorders/>
            <w:vAlign w:val="center"/>
          </w:tcPr>
          <w:p>
            <w:pPr>
              <w:pStyle w:val="TableContents"/>
              <w:bidi w:val="0"/>
              <w:spacing w:before="0" w:after="283"/>
              <w:jc w:val="center"/>
              <w:rPr/>
            </w:pPr>
            <w:r>
              <w:rPr/>
              <w:t> </w:t>
            </w:r>
          </w:p>
        </w:tc>
        <w:tc>
          <w:tcPr>
            <w:tcW w:w="991" w:type="dxa"/>
            <w:vMerge w:val="restart"/>
            <w:tcBorders/>
            <w:tcMar>
              <w:top w:w="0" w:type="dxa"/>
              <w:left w:w="0" w:type="dxa"/>
              <w:bottom w:w="0" w:type="dxa"/>
              <w:right w:w="0" w:type="dxa"/>
            </w:tcMar>
            <w:vAlign w:val="center"/>
          </w:tcPr>
          <w:p>
            <w:pPr>
              <w:pStyle w:val="TableContents"/>
              <w:bidi w:val="0"/>
              <w:spacing w:before="0" w:after="283"/>
              <w:jc w:val="center"/>
              <w:rPr/>
            </w:pPr>
            <w:r>
              <w:rPr/>
              <w:t xml:space="preserve">Director </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pPr>
            <w:r>
              <w:rPr/>
              <w:t xml:space="preserve">Johnny Hartnett </w:t>
            </w:r>
          </w:p>
        </w:tc>
        <w:tc>
          <w:tcPr>
            <w:tcW w:w="146" w:type="dxa"/>
            <w:vMerge w:val="continue"/>
            <w:tcBorders/>
            <w:vAlign w:val="center"/>
          </w:tcPr>
          <w:p>
            <w:pPr>
              <w:pStyle w:val="Normal"/>
              <w:bidi w:val="0"/>
              <w:jc w:val="left"/>
              <w:rPr/>
            </w:pPr>
            <w:r>
              <w:rPr/>
            </w:r>
          </w:p>
        </w:tc>
        <w:tc>
          <w:tcPr>
            <w:tcW w:w="991" w:type="dxa"/>
            <w:vMerge w:val="continue"/>
            <w:tcBorders/>
            <w:tcMar>
              <w:top w:w="0" w:type="dxa"/>
              <w:left w:w="0" w:type="dxa"/>
              <w:bottom w:w="0" w:type="dxa"/>
              <w:right w:w="0" w:type="dxa"/>
            </w:tcMar>
            <w:vAlign w:val="center"/>
          </w:tcPr>
          <w:p>
            <w:pPr>
              <w:pStyle w:val="Normal"/>
              <w:bidi w:val="0"/>
              <w:jc w:val="left"/>
              <w:rPr/>
            </w:pPr>
            <w:r>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Marla Kaplowitz </w:t>
            </w:r>
          </w:p>
        </w:tc>
        <w:tc>
          <w:tcPr>
            <w:tcW w:w="146" w:type="dxa"/>
            <w:tcBorders/>
            <w:vAlign w:val="center"/>
          </w:tcPr>
          <w:p>
            <w:pPr>
              <w:pStyle w:val="TableContents"/>
              <w:bidi w:val="0"/>
              <w:spacing w:before="0" w:after="283"/>
              <w:jc w:val="center"/>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pPr>
            <w:r>
              <w:rPr/>
              <w:t xml:space="preserve">Director </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pPr>
            <w:r>
              <w:rPr/>
              <w:t xml:space="preserve">Marla Kaplowitz </w:t>
            </w:r>
          </w:p>
        </w:tc>
        <w:tc>
          <w:tcPr>
            <w:tcW w:w="146" w:type="dxa"/>
            <w:tcBorders/>
            <w:vAlign w:val="center"/>
          </w:tcPr>
          <w:p>
            <w:pPr>
              <w:pStyle w:val="TableContents"/>
              <w:bidi w:val="0"/>
              <w:spacing w:before="0" w:after="283"/>
              <w:jc w:val="center"/>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Carlos Ruisanchez </w:t>
            </w:r>
          </w:p>
        </w:tc>
        <w:tc>
          <w:tcPr>
            <w:tcW w:w="146" w:type="dxa"/>
            <w:vMerge w:val="restart"/>
            <w:tcBorders/>
            <w:vAlign w:val="center"/>
          </w:tcPr>
          <w:p>
            <w:pPr>
              <w:pStyle w:val="TableContents"/>
              <w:bidi w:val="0"/>
              <w:spacing w:before="0" w:after="283"/>
              <w:jc w:val="center"/>
              <w:rPr/>
            </w:pPr>
            <w:r>
              <w:rPr/>
              <w:t> </w:t>
            </w:r>
          </w:p>
        </w:tc>
        <w:tc>
          <w:tcPr>
            <w:tcW w:w="991" w:type="dxa"/>
            <w:vMerge w:val="restart"/>
            <w:tcBorders/>
            <w:tcMar>
              <w:top w:w="0" w:type="dxa"/>
              <w:left w:w="0" w:type="dxa"/>
              <w:bottom w:w="0" w:type="dxa"/>
              <w:right w:w="0" w:type="dxa"/>
            </w:tcMar>
            <w:vAlign w:val="center"/>
          </w:tcPr>
          <w:p>
            <w:pPr>
              <w:pStyle w:val="TableContents"/>
              <w:bidi w:val="0"/>
              <w:spacing w:before="0" w:after="283"/>
              <w:jc w:val="center"/>
              <w:rPr/>
            </w:pPr>
            <w:r>
              <w:rPr/>
              <w:t xml:space="preserve">Director </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pPr>
            <w:r>
              <w:rPr/>
              <w:t xml:space="preserve">Carlos Ruisanchez </w:t>
            </w:r>
          </w:p>
        </w:tc>
        <w:tc>
          <w:tcPr>
            <w:tcW w:w="146" w:type="dxa"/>
            <w:vMerge w:val="continue"/>
            <w:tcBorders/>
            <w:vAlign w:val="center"/>
          </w:tcPr>
          <w:p>
            <w:pPr>
              <w:pStyle w:val="Normal"/>
              <w:bidi w:val="0"/>
              <w:jc w:val="left"/>
              <w:rPr/>
            </w:pPr>
            <w:r>
              <w:rPr/>
            </w:r>
          </w:p>
        </w:tc>
        <w:tc>
          <w:tcPr>
            <w:tcW w:w="991" w:type="dxa"/>
            <w:vMerge w:val="continue"/>
            <w:tcBorders/>
            <w:tcMar>
              <w:top w:w="0" w:type="dxa"/>
              <w:left w:w="0" w:type="dxa"/>
              <w:bottom w:w="0" w:type="dxa"/>
              <w:right w:w="0" w:type="dxa"/>
            </w:tcMar>
            <w:vAlign w:val="center"/>
          </w:tcPr>
          <w:p>
            <w:pPr>
              <w:pStyle w:val="Normal"/>
              <w:bidi w:val="0"/>
              <w:jc w:val="left"/>
              <w:rPr/>
            </w:pPr>
            <w:r>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Jane Scaccetti </w:t>
            </w:r>
          </w:p>
        </w:tc>
        <w:tc>
          <w:tcPr>
            <w:tcW w:w="146" w:type="dxa"/>
            <w:vMerge w:val="restart"/>
            <w:tcBorders/>
            <w:vAlign w:val="center"/>
          </w:tcPr>
          <w:p>
            <w:pPr>
              <w:pStyle w:val="TableContents"/>
              <w:bidi w:val="0"/>
              <w:spacing w:before="0" w:after="283"/>
              <w:jc w:val="center"/>
              <w:rPr/>
            </w:pPr>
            <w:r>
              <w:rPr/>
              <w:t> </w:t>
            </w:r>
          </w:p>
        </w:tc>
        <w:tc>
          <w:tcPr>
            <w:tcW w:w="991" w:type="dxa"/>
            <w:vMerge w:val="restart"/>
            <w:tcBorders/>
            <w:tcMar>
              <w:top w:w="0" w:type="dxa"/>
              <w:left w:w="0" w:type="dxa"/>
              <w:bottom w:w="0" w:type="dxa"/>
              <w:right w:w="0" w:type="dxa"/>
            </w:tcMar>
            <w:vAlign w:val="center"/>
          </w:tcPr>
          <w:p>
            <w:pPr>
              <w:pStyle w:val="TableContents"/>
              <w:bidi w:val="0"/>
              <w:spacing w:before="0" w:after="283"/>
              <w:jc w:val="center"/>
              <w:rPr/>
            </w:pPr>
            <w:r>
              <w:rPr/>
              <w:t xml:space="preserve">Director </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pPr>
            <w:r>
              <w:rPr/>
              <w:t xml:space="preserve">Jane Scaccetti </w:t>
            </w:r>
          </w:p>
        </w:tc>
        <w:tc>
          <w:tcPr>
            <w:tcW w:w="146" w:type="dxa"/>
            <w:vMerge w:val="continue"/>
            <w:tcBorders/>
            <w:vAlign w:val="center"/>
          </w:tcPr>
          <w:p>
            <w:pPr>
              <w:pStyle w:val="Normal"/>
              <w:bidi w:val="0"/>
              <w:jc w:val="left"/>
              <w:rPr/>
            </w:pPr>
            <w:r>
              <w:rPr/>
            </w:r>
          </w:p>
        </w:tc>
        <w:tc>
          <w:tcPr>
            <w:tcW w:w="991" w:type="dxa"/>
            <w:vMerge w:val="continue"/>
            <w:tcBorders/>
            <w:tcMar>
              <w:top w:w="0" w:type="dxa"/>
              <w:left w:w="0" w:type="dxa"/>
              <w:bottom w:w="0" w:type="dxa"/>
              <w:right w:w="0" w:type="dxa"/>
            </w:tcMar>
            <w:vAlign w:val="center"/>
          </w:tcPr>
          <w:p>
            <w:pPr>
              <w:pStyle w:val="Normal"/>
              <w:bidi w:val="0"/>
              <w:jc w:val="left"/>
              <w:rPr/>
            </w:pPr>
            <w:r>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bottom w:val="single" w:sz="12" w:space="0" w:color="000000"/>
            </w:tcBorders>
            <w:tcMar>
              <w:top w:w="0" w:type="dxa"/>
              <w:left w:w="0" w:type="dxa"/>
              <w:right w:w="0" w:type="dxa"/>
            </w:tcMar>
            <w:vAlign w:val="center"/>
          </w:tcPr>
          <w:p>
            <w:pPr>
              <w:pStyle w:val="TableContents"/>
              <w:bidi w:val="0"/>
              <w:spacing w:before="0" w:after="283"/>
              <w:jc w:val="center"/>
              <w:rPr/>
            </w:pPr>
            <w:r>
              <w:rPr/>
              <w:t xml:space="preserve">/s/ Fabio Schiavolin </w:t>
            </w:r>
          </w:p>
        </w:tc>
        <w:tc>
          <w:tcPr>
            <w:tcW w:w="146" w:type="dxa"/>
            <w:vMerge w:val="restart"/>
            <w:tcBorders/>
            <w:vAlign w:val="center"/>
          </w:tcPr>
          <w:p>
            <w:pPr>
              <w:pStyle w:val="TableContents"/>
              <w:bidi w:val="0"/>
              <w:spacing w:before="0" w:after="283"/>
              <w:jc w:val="center"/>
              <w:rPr/>
            </w:pPr>
            <w:r>
              <w:rPr/>
              <w:t> </w:t>
            </w:r>
          </w:p>
        </w:tc>
        <w:tc>
          <w:tcPr>
            <w:tcW w:w="991" w:type="dxa"/>
            <w:vMerge w:val="restart"/>
            <w:tcBorders/>
            <w:tcMar>
              <w:top w:w="0" w:type="dxa"/>
              <w:left w:w="0" w:type="dxa"/>
              <w:bottom w:w="0" w:type="dxa"/>
              <w:right w:w="0" w:type="dxa"/>
            </w:tcMar>
            <w:vAlign w:val="center"/>
          </w:tcPr>
          <w:p>
            <w:pPr>
              <w:pStyle w:val="TableContents"/>
              <w:bidi w:val="0"/>
              <w:spacing w:before="0" w:after="283"/>
              <w:jc w:val="center"/>
              <w:rPr/>
            </w:pPr>
            <w:r>
              <w:rPr/>
              <w:t xml:space="preserve">Director </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pPr>
            <w:r>
              <w:rPr/>
              <w:t xml:space="preserve">Fabio Schiavolin </w:t>
            </w:r>
          </w:p>
        </w:tc>
        <w:tc>
          <w:tcPr>
            <w:tcW w:w="146" w:type="dxa"/>
            <w:vMerge w:val="continue"/>
            <w:tcBorders/>
            <w:vAlign w:val="center"/>
          </w:tcPr>
          <w:p>
            <w:pPr>
              <w:pStyle w:val="Normal"/>
              <w:bidi w:val="0"/>
              <w:jc w:val="left"/>
              <w:rPr/>
            </w:pPr>
            <w:r>
              <w:rPr/>
            </w:r>
          </w:p>
        </w:tc>
        <w:tc>
          <w:tcPr>
            <w:tcW w:w="99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3" w:name="ef20079340_ex5-1.htm"/>
      <w:bookmarkStart w:id="4" w:name="ksef20079340_ex51"/>
      <w:bookmarkStart w:id="5" w:name="ef20079340_ex5-1.htm"/>
      <w:bookmarkStart w:id="6" w:name="ksef20079340_ex51"/>
      <w:bookmarkEnd w:id="5"/>
      <w:bookmarkEnd w:id="6"/>
      <w:r>
        <w:br w:type="page"/>
      </w:r>
    </w:p>
    <w:p>
      <w:pPr>
        <w:pStyle w:val="TextBody"/>
        <w:bidi w:val="0"/>
        <w:spacing w:before="0" w:after="0"/>
        <w:ind w:left="0" w:right="0" w:hanging="0"/>
        <w:jc w:val="right"/>
        <w:rPr/>
      </w:pPr>
      <w:r>
        <w:rPr>
          <w:b/>
        </w:rPr>
        <w:t>Exhibit 5.1</w:t>
      </w:r>
      <w:r>
        <w:rPr/>
        <w:t xml:space="preserve"> </w:t>
      </w:r>
    </w:p>
    <w:p>
      <w:pPr>
        <w:pStyle w:val="TextBody"/>
        <w:bidi w:val="0"/>
        <w:spacing w:before="0" w:after="0"/>
        <w:jc w:val="left"/>
        <w:rPr/>
      </w:pPr>
      <w:r>
        <w:rPr/>
        <w:t xml:space="preserve">  </w:t>
      </w:r>
    </w:p>
    <w:p>
      <w:pPr>
        <w:pStyle w:val="TextBody"/>
        <w:bidi w:val="0"/>
        <w:spacing w:before="0" w:after="0"/>
        <w:jc w:val="left"/>
        <w:rPr/>
      </w:pPr>
      <w:r>
        <w:rPr/>
        <w:drawing>
          <wp:inline distT="0" distB="0" distL="0" distR="0">
            <wp:extent cx="1771650" cy="2857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9"/>
                    <a:stretch>
                      <a:fillRect/>
                    </a:stretch>
                  </pic:blipFill>
                  <pic:spPr bwMode="auto">
                    <a:xfrm>
                      <a:off x="0" y="0"/>
                      <a:ext cx="1771650" cy="285750"/>
                    </a:xfrm>
                    <a:prstGeom prst="rect">
                      <a:avLst/>
                    </a:prstGeom>
                  </pic:spPr>
                </pic:pic>
              </a:graphicData>
            </a:graphic>
          </wp:inline>
        </w:drawing>
      </w:r>
      <w:r>
        <w:rPr/>
        <w:t xml:space="preserve"> </w:t>
      </w:r>
    </w:p>
    <w:p>
      <w:pPr>
        <w:pStyle w:val="TextBody"/>
        <w:bidi w:val="0"/>
        <w:spacing w:before="0" w:after="0"/>
        <w:jc w:val="left"/>
        <w:rPr/>
      </w:pPr>
      <w:r>
        <w:rPr/>
        <w:t xml:space="preserve">  </w:t>
      </w:r>
    </w:p>
    <w:p>
      <w:pPr>
        <w:pStyle w:val="TextBody"/>
        <w:bidi w:val="0"/>
        <w:spacing w:before="0" w:after="0"/>
        <w:jc w:val="left"/>
        <w:rPr/>
      </w:pPr>
      <w:r>
        <w:rPr/>
        <w:drawing>
          <wp:inline distT="0" distB="0" distL="0" distR="0">
            <wp:extent cx="1752600" cy="7143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10"/>
                    <a:stretch>
                      <a:fillRect/>
                    </a:stretch>
                  </pic:blipFill>
                  <pic:spPr bwMode="auto">
                    <a:xfrm>
                      <a:off x="0" y="0"/>
                      <a:ext cx="1752600" cy="714375"/>
                    </a:xfrm>
                    <a:prstGeom prst="rect">
                      <a:avLst/>
                    </a:prstGeom>
                  </pic:spPr>
                </pic:pic>
              </a:graphicData>
            </a:graphic>
          </wp:inline>
        </w:drawing>
      </w:r>
      <w:r>
        <w:rPr/>
        <w:t xml:space="preserve"> </w:t>
      </w:r>
    </w:p>
    <w:p>
      <w:pPr>
        <w:pStyle w:val="TextBody"/>
        <w:bidi w:val="0"/>
        <w:spacing w:before="0" w:after="0"/>
        <w:jc w:val="left"/>
        <w:rPr/>
      </w:pPr>
      <w:r>
        <w:rPr/>
        <w:t xml:space="preserve">  </w:t>
      </w:r>
    </w:p>
    <w:p>
      <w:pPr>
        <w:pStyle w:val="TextBody"/>
        <w:bidi w:val="0"/>
        <w:spacing w:before="0" w:after="0"/>
        <w:jc w:val="left"/>
        <w:rPr>
          <w:sz w:val="24"/>
        </w:rPr>
      </w:pPr>
      <w:r>
        <w:rPr>
          <w:sz w:val="20"/>
        </w:rPr>
        <w:t>August 10, 2026</w:t>
      </w:r>
      <w:r>
        <w:rPr>
          <w:sz w:val="24"/>
        </w:rPr>
        <w:t xml:space="preserve"> </w:t>
      </w:r>
    </w:p>
    <w:p>
      <w:pPr>
        <w:pStyle w:val="TextBody"/>
        <w:bidi w:val="0"/>
        <w:spacing w:before="0" w:after="0"/>
        <w:jc w:val="left"/>
        <w:rPr/>
      </w:pPr>
      <w:r>
        <w:rPr/>
        <w:t xml:space="preserve">  </w:t>
      </w:r>
    </w:p>
    <w:p>
      <w:pPr>
        <w:pStyle w:val="TextBody"/>
        <w:bidi w:val="0"/>
        <w:spacing w:before="0" w:after="0"/>
        <w:jc w:val="left"/>
        <w:rPr>
          <w:sz w:val="24"/>
        </w:rPr>
      </w:pPr>
      <w:r>
        <w:rPr>
          <w:sz w:val="20"/>
        </w:rPr>
        <w:t>Board of Directors</w:t>
      </w:r>
      <w:r>
        <w:rPr>
          <w:sz w:val="24"/>
        </w:rPr>
        <w:t xml:space="preserve"> </w:t>
      </w:r>
    </w:p>
    <w:p>
      <w:pPr>
        <w:pStyle w:val="TextBody"/>
        <w:bidi w:val="0"/>
        <w:spacing w:before="0" w:after="0"/>
        <w:jc w:val="left"/>
        <w:rPr/>
      </w:pPr>
      <w:r>
        <w:rPr/>
        <w:t xml:space="preserve">PENN Entertainment, Inc. </w:t>
      </w:r>
    </w:p>
    <w:p>
      <w:pPr>
        <w:pStyle w:val="TextBody"/>
        <w:bidi w:val="0"/>
        <w:spacing w:before="0" w:after="0"/>
        <w:jc w:val="left"/>
        <w:rPr/>
      </w:pPr>
      <w:r>
        <w:rPr/>
        <w:t xml:space="preserve">825 Berkshire Blvd., Suite 200 </w:t>
      </w:r>
    </w:p>
    <w:p>
      <w:pPr>
        <w:pStyle w:val="TextBody"/>
        <w:bidi w:val="0"/>
        <w:spacing w:before="0" w:after="0"/>
        <w:jc w:val="left"/>
        <w:rPr/>
      </w:pPr>
      <w:r>
        <w:rPr/>
        <w:t xml:space="preserve">Wyomissing, PA 19610 </w:t>
      </w:r>
    </w:p>
    <w:p>
      <w:pPr>
        <w:pStyle w:val="TextBody"/>
        <w:bidi w:val="0"/>
        <w:spacing w:before="0" w:after="0"/>
        <w:jc w:val="left"/>
        <w:rPr/>
      </w:pPr>
      <w:r>
        <w:rPr/>
        <w:t xml:space="preserve">  </w:t>
      </w:r>
    </w:p>
    <w:p>
      <w:pPr>
        <w:pStyle w:val="TextBody"/>
        <w:bidi w:val="0"/>
        <w:spacing w:before="0" w:after="0"/>
        <w:ind w:left="0" w:right="0" w:hanging="360"/>
        <w:jc w:val="left"/>
        <w:rPr/>
      </w:pPr>
      <w:r>
        <w:rPr/>
        <w:t xml:space="preserve">Re: </w:t>
      </w:r>
      <w:r>
        <w:rPr>
          <w:u w:val="single"/>
        </w:rPr>
        <w:t>PENN Entertainment, Inc. - Registration Statement on Form S-8</w:t>
      </w:r>
      <w:r>
        <w:rPr/>
        <w:t xml:space="preserve"> </w:t>
      </w:r>
    </w:p>
    <w:p>
      <w:pPr>
        <w:pStyle w:val="TextBody"/>
        <w:bidi w:val="0"/>
        <w:spacing w:before="0" w:after="0"/>
        <w:ind w:left="810" w:right="0" w:hanging="0"/>
        <w:jc w:val="left"/>
        <w:rPr/>
      </w:pPr>
      <w:r>
        <w:rPr/>
        <w:t xml:space="preserve">  </w:t>
      </w:r>
    </w:p>
    <w:p>
      <w:pPr>
        <w:pStyle w:val="TextBody"/>
        <w:bidi w:val="0"/>
        <w:spacing w:before="0" w:after="0"/>
        <w:jc w:val="left"/>
        <w:rPr/>
      </w:pPr>
      <w:r>
        <w:rPr/>
        <w:t xml:space="preserve">Ladies and Gentlemen: </w:t>
      </w:r>
    </w:p>
    <w:p>
      <w:pPr>
        <w:pStyle w:val="TextBody"/>
        <w:bidi w:val="0"/>
        <w:spacing w:before="0" w:after="0"/>
        <w:jc w:val="left"/>
        <w:rPr/>
      </w:pPr>
      <w:r>
        <w:rPr/>
        <w:t xml:space="preserve">  </w:t>
      </w:r>
    </w:p>
    <w:p>
      <w:pPr>
        <w:pStyle w:val="TextBody"/>
        <w:bidi w:val="0"/>
        <w:spacing w:before="0" w:after="0"/>
        <w:jc w:val="left"/>
        <w:rPr/>
      </w:pPr>
      <w:r>
        <w:rPr/>
        <w:t>We are acting as counsel to PENN Entertainment, Inc. (f/k/a Penn National Gaming, Inc,), a Pennsylvania corporation (the “</w:t>
      </w:r>
      <w:r>
        <w:rPr>
          <w:b/>
        </w:rPr>
        <w:t>Company”</w:t>
      </w:r>
      <w:r>
        <w:rPr/>
        <w:t>), in connection with its registration statement on Form S-8 (the “</w:t>
      </w:r>
      <w:r>
        <w:rPr>
          <w:b/>
        </w:rPr>
        <w:t>Registration Statement”</w:t>
      </w:r>
      <w:r>
        <w:rPr/>
        <w:t>), filed with the Securities and Exchange Commission under the Securities Act of 1933, as amended (the “</w:t>
      </w:r>
      <w:r>
        <w:rPr>
          <w:b/>
        </w:rPr>
        <w:t>Act”)</w:t>
      </w:r>
      <w:r>
        <w:rPr/>
        <w:t xml:space="preserve"> relating to the proposed issuance of up to </w:t>
      </w:r>
      <w:r>
        <w:rPr>
          <w:color w:val="0D0D0D"/>
        </w:rPr>
        <w:t xml:space="preserve">4,000,000 additional </w:t>
      </w:r>
      <w:r>
        <w:rPr/>
        <w:t>shares of common stock, par value $0.01 per share of the Company (the “</w:t>
      </w:r>
      <w:r>
        <w:rPr>
          <w:b/>
        </w:rPr>
        <w:t>Shares”</w:t>
      </w:r>
      <w:r>
        <w:rPr/>
        <w:t>) pursuant to the PENN Entertainment, Inc. 2022 Long Term Incentive Compensation Plan, as amended (the “</w:t>
      </w:r>
      <w:r>
        <w:rPr>
          <w:b/>
        </w:rPr>
        <w:t>Plan”</w:t>
      </w:r>
      <w:r>
        <w:rPr/>
        <w:t xml:space="preserve">). This opinion letter is furnished to you at your request to enable you to fulfill the requirements of Item 601(b)(5) of Regulation S-K in connection with the Registration Statement. </w:t>
      </w:r>
    </w:p>
    <w:p>
      <w:pPr>
        <w:pStyle w:val="TextBody"/>
        <w:bidi w:val="0"/>
        <w:spacing w:before="0" w:after="0"/>
        <w:jc w:val="left"/>
        <w:rPr/>
      </w:pPr>
      <w:r>
        <w:rPr/>
        <w:t xml:space="preserve">  </w:t>
      </w:r>
    </w:p>
    <w:p>
      <w:pPr>
        <w:pStyle w:val="TextBody"/>
        <w:bidi w:val="0"/>
        <w:spacing w:before="0" w:after="0"/>
        <w:jc w:val="left"/>
        <w:rPr/>
      </w:pPr>
      <w:r>
        <w:rPr/>
        <w:t xml:space="preserve">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 </w:t>
      </w:r>
    </w:p>
    <w:p>
      <w:pPr>
        <w:pStyle w:val="TextBody"/>
        <w:bidi w:val="0"/>
        <w:spacing w:before="0" w:after="0"/>
        <w:jc w:val="left"/>
        <w:rPr/>
      </w:pPr>
      <w:r>
        <w:rPr/>
        <w:t xml:space="preserve">  </w:t>
      </w:r>
    </w:p>
    <w:p>
      <w:pPr>
        <w:pStyle w:val="TextBody"/>
        <w:bidi w:val="0"/>
        <w:spacing w:before="0" w:after="0"/>
        <w:jc w:val="left"/>
        <w:rPr/>
      </w:pPr>
      <w:r>
        <w:rPr/>
        <w:t xml:space="preserve">The opinion expressed below is based on the assumption that the Registration Statement has been filed by the Company with the Securities and Exchange Commission and will have become effective before any of the Shares are issued, and that persons acquiring the Shares will do so strictly in accordance with the terms of the Plan and will receive a prospectus containing all the information required by Part I of the Registration Statement before acquiring such Shares. The opinion is also based on the assumption that the Shares will continue to be duly and validly authorized on the dates that the Shares are issued to participants pursuant to the terms of the Plan and, upon the issuance of any of the Shares, the total number of shares of common stock of the Company issued and outstanding, after giving effect to such issuance of such Shares, will not exceed the total number of shares of common stock that the Company is then authorized to issue under its Articles of Incorporation, as amended. </w:t>
      </w:r>
    </w:p>
    <w:p>
      <w:pPr>
        <w:pStyle w:val="TextBody"/>
        <w:bidi w:val="0"/>
        <w:spacing w:before="0" w:after="0"/>
        <w:jc w:val="left"/>
        <w:rPr/>
      </w:pPr>
      <w:r>
        <w:rPr/>
        <w:t xml:space="preserve">  </w:t>
      </w:r>
    </w:p>
    <w:p>
      <w:pPr>
        <w:pStyle w:val="TextBody"/>
        <w:bidi w:val="0"/>
        <w:spacing w:before="0" w:after="0"/>
        <w:jc w:val="left"/>
        <w:rPr/>
      </w:pPr>
      <w:r>
        <w:rPr/>
        <w:t xml:space="preserve">This opinion letter is based as to matters of law solely on the Pennsylvania Business Corporation Law, as amended. We express no opinion herein as to any other laws, statutes, ordinances, rules, or regulations.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xml:space="preserve">PENN Entertainment, Inc. </w:t>
      </w:r>
    </w:p>
    <w:p>
      <w:pPr>
        <w:pStyle w:val="TextBody"/>
        <w:bidi w:val="0"/>
        <w:spacing w:before="0" w:after="0"/>
        <w:jc w:val="left"/>
        <w:rPr/>
      </w:pPr>
      <w:r>
        <w:rPr/>
        <w:t xml:space="preserve">August 10, 2026 </w:t>
      </w:r>
    </w:p>
    <w:p>
      <w:pPr>
        <w:pStyle w:val="TextBody"/>
        <w:bidi w:val="0"/>
        <w:spacing w:before="0" w:after="0"/>
        <w:jc w:val="left"/>
        <w:rPr/>
      </w:pPr>
      <w:r>
        <w:rPr/>
        <w:t xml:space="preserve">Page 2 </w:t>
      </w:r>
    </w:p>
    <w:p>
      <w:pPr>
        <w:pStyle w:val="TextBody"/>
        <w:bidi w:val="0"/>
        <w:spacing w:before="0" w:after="0"/>
        <w:jc w:val="left"/>
        <w:rPr/>
      </w:pPr>
      <w:r>
        <w:rPr/>
        <w:t xml:space="preserve">  </w:t>
      </w:r>
    </w:p>
    <w:p>
      <w:pPr>
        <w:pStyle w:val="TextBody"/>
        <w:bidi w:val="0"/>
        <w:spacing w:before="0" w:after="0"/>
        <w:jc w:val="left"/>
        <w:rPr/>
      </w:pPr>
      <w:r>
        <w:rPr/>
        <w:t xml:space="preserve">Based upon, subject to and limited by the foregoing, we are of the opinion that the Shares, when issued pursuant to the Plan in accordance with the terms and conditions thereof (including, where applicable, the payment of any exercise price, the satisfaction of any vesting or forfeiture restrictions and the achievement of applicable performance goals), will be validly issued, fully paid, and nonassessable. </w:t>
      </w:r>
    </w:p>
    <w:p>
      <w:pPr>
        <w:pStyle w:val="TextBody"/>
        <w:bidi w:val="0"/>
        <w:spacing w:before="0" w:after="0"/>
        <w:jc w:val="left"/>
        <w:rPr/>
      </w:pPr>
      <w:r>
        <w:rPr/>
        <w:t xml:space="preserve">  </w:t>
      </w:r>
    </w:p>
    <w:p>
      <w:pPr>
        <w:pStyle w:val="TextBody"/>
        <w:bidi w:val="0"/>
        <w:spacing w:before="0" w:after="0"/>
        <w:jc w:val="left"/>
        <w:rPr/>
      </w:pPr>
      <w:r>
        <w:rPr/>
        <w:t xml:space="preserve">This opinion letter has been prepared for use in connection with the Registration Statement. We assume no obligation to advise you of any changes in the foregoing subsequent to the effective date of the Registration Statement </w:t>
      </w:r>
    </w:p>
    <w:p>
      <w:pPr>
        <w:pStyle w:val="TextBody"/>
        <w:bidi w:val="0"/>
        <w:spacing w:before="0" w:after="0"/>
        <w:jc w:val="left"/>
        <w:rPr/>
      </w:pPr>
      <w:r>
        <w:rPr/>
        <w:t xml:space="preserve">  </w:t>
      </w:r>
    </w:p>
    <w:p>
      <w:pPr>
        <w:pStyle w:val="TextBody"/>
        <w:bidi w:val="0"/>
        <w:spacing w:before="0" w:after="0"/>
        <w:jc w:val="left"/>
        <w:rPr/>
      </w:pPr>
      <w:r>
        <w:rPr/>
        <w:t xml:space="preserve">We hereby consent to the filing of this opinion letter as Exhibit 5.1 to the Registration Statement. In giving this consent, we do not thereby admit that we are within the category of persons whose consent is required by Section 7 of the Act. </w:t>
      </w:r>
    </w:p>
    <w:p>
      <w:pPr>
        <w:pStyle w:val="TextBody"/>
        <w:bidi w:val="0"/>
        <w:spacing w:before="0" w:after="0"/>
        <w:jc w:val="left"/>
        <w:rPr/>
      </w:pPr>
      <w:r>
        <w:rPr/>
        <w:t xml:space="preserve">  </w:t>
      </w:r>
    </w:p>
    <w:p>
      <w:pPr>
        <w:pStyle w:val="TextBody"/>
        <w:bidi w:val="0"/>
        <w:spacing w:before="0" w:after="0"/>
        <w:jc w:val="left"/>
        <w:rPr/>
      </w:pPr>
      <w:r>
        <w:rPr>
          <w:color w:val="000000"/>
        </w:rPr>
        <w:t>Very truly yours,</w:t>
      </w: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rPr>
        <w:t>/s/ Ballard Spahr LLP</w:t>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7" w:name="ef20079340_ex23-1.htm"/>
      <w:bookmarkStart w:id="8" w:name="ksef20079340_ex231"/>
      <w:bookmarkStart w:id="9" w:name="ef20079340_ex23-1.htm"/>
      <w:bookmarkStart w:id="10" w:name="ksef20079340_ex231"/>
      <w:bookmarkEnd w:id="9"/>
      <w:bookmarkEnd w:id="10"/>
      <w:r>
        <w:br w:type="page"/>
      </w:r>
    </w:p>
    <w:p>
      <w:pPr>
        <w:pStyle w:val="TextBody"/>
        <w:bidi w:val="0"/>
        <w:spacing w:before="0" w:after="0"/>
        <w:jc w:val="righ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Exhibit 23.1</w:t>
      </w:r>
    </w:p>
    <w:p>
      <w:pPr>
        <w:pStyle w:val="TextBody"/>
        <w:bidi w:val="0"/>
        <w:spacing w:before="0" w:after="0"/>
        <w:jc w:val="center"/>
        <w:rPr/>
      </w:pPr>
      <w:r>
        <w:rPr/>
        <w:t> </w:t>
      </w:r>
    </w:p>
    <w:p>
      <w:pPr>
        <w:pStyle w:val="TextBody"/>
        <w:bidi w:val="0"/>
        <w:spacing w:before="0" w:after="0"/>
        <w:jc w:val="center"/>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color w:val="000000"/>
          <w:sz w:val="20"/>
        </w:rPr>
        <w:t>CONSENT OF INDEPENDENT REGISTERED PUBLIC ACCOUNTING FIRM</w:t>
      </w:r>
      <w:r>
        <w:rPr>
          <w:rFonts w:ascii="TimesNewRoman;Times New Roman;Times;Baskerville;Georgia;serif" w:hAnsi="TimesNewRoman;Times New Roman;Times;Baskerville;Georgia;serif"/>
          <w:sz w:val="20"/>
        </w:rPr>
        <w:t xml:space="preserve"> </w:t>
      </w:r>
    </w:p>
    <w:p>
      <w:pPr>
        <w:pStyle w:val="TextBody"/>
        <w:bidi w:val="0"/>
        <w:spacing w:before="0" w:after="0"/>
        <w:jc w:val="center"/>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We hereby consent to the incorporation by reference in this Registration Statement on Form S-8 of PENN Entertainment, Inc. of our report dated February 26, 2026</w:t>
      </w:r>
      <w:r>
        <w:rPr>
          <w:rFonts w:ascii="TimesNewRoman;Times New Roman;Times;Baskerville;Georgia;serif" w:hAnsi="TimesNewRoman;Times New Roman;Times;Baskerville;Georgia;serif"/>
          <w:position w:val="7"/>
          <w:sz w:val="16"/>
          <w:sz w:val="20"/>
        </w:rPr>
        <w:t> </w:t>
      </w:r>
      <w:r>
        <w:rPr>
          <w:rFonts w:ascii="TimesNewRoman;Times New Roman;Times;Baskerville;Georgia;serif" w:hAnsi="TimesNewRoman;Times New Roman;Times;Baskerville;Georgia;serif"/>
          <w:sz w:val="20"/>
        </w:rPr>
        <w:t xml:space="preserve">relating to the financial statements and the effectiveness of internal control over financial reporting, which appears in PENN Entertainment Inc.'s Annual Report on Form 10-K for the year ended December 31, 2025. </w:t>
      </w:r>
    </w:p>
    <w:p>
      <w:pPr>
        <w:pStyle w:val="TextBody"/>
        <w:bidi w:val="0"/>
        <w:spacing w:before="0" w:after="0"/>
        <w:jc w:val="left"/>
        <w:rPr/>
      </w:pPr>
      <w:r>
        <w:rPr/>
        <w:t xml:space="preserve">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/s/ PricewaterhouseCoopers LLP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Las Vegas, NV </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 xml:space="preserve">August 10, 2026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11" w:name="ef20079340_ex23-2.htm"/>
      <w:bookmarkStart w:id="12" w:name="ksef20079340_ex232"/>
      <w:bookmarkStart w:id="13" w:name="ef20079340_ex23-2.htm"/>
      <w:bookmarkStart w:id="14" w:name="ksef20079340_ex232"/>
      <w:bookmarkEnd w:id="13"/>
      <w:bookmarkEnd w:id="14"/>
      <w:r>
        <w:br w:type="page"/>
      </w:r>
    </w:p>
    <w:p>
      <w:pPr>
        <w:pStyle w:val="TextBody"/>
        <w:bidi w:val="0"/>
        <w:spacing w:before="0" w:after="0"/>
        <w:jc w:val="right"/>
        <w:rPr/>
      </w:pPr>
      <w:r>
        <w:rPr>
          <w:b/>
          <w:color w:val="000000"/>
          <w:sz w:val="20"/>
        </w:rPr>
        <w:t>Exhibit 23.2</w:t>
      </w:r>
      <w:r>
        <w:rPr/>
        <w:t xml:space="preserve"> </w:t>
      </w:r>
    </w:p>
    <w:p>
      <w:pPr>
        <w:pStyle w:val="TextBody"/>
        <w:bidi w:val="0"/>
        <w:spacing w:before="0" w:after="0"/>
        <w:jc w:val="left"/>
        <w:rPr/>
      </w:pPr>
      <w:r>
        <w:rPr/>
        <w:t xml:space="preserve">  </w:t>
      </w:r>
    </w:p>
    <w:p>
      <w:pPr>
        <w:pStyle w:val="TextBody"/>
        <w:bidi w:val="0"/>
        <w:spacing w:before="0" w:after="0"/>
        <w:jc w:val="left"/>
        <w:rPr/>
      </w:pPr>
      <w:r>
        <w:rPr>
          <w:b/>
          <w:color w:val="000000"/>
          <w:sz w:val="20"/>
        </w:rPr>
        <w:t>CONSENT OF INDEPENDENT REGISTERED PUBLIC ACCOUNTING FIRM</w:t>
      </w: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 xml:space="preserve">We consent to the incorporation by reference in this Registration Statement on Form S-8 of our report dated February 22, 2024 (February 27, 2025 as to </w:t>
      </w:r>
      <w:r>
        <w:rPr>
          <w:sz w:val="20"/>
        </w:rPr>
        <w:t>Note 17), relating to the consolidated financial statements of PENN Entertainment, Inc. and subsidiaries, appearing in the Annual Report on Form 10-K of PENN Entertainment, Inc. for the year ended December 31, 2025 and incorporated by reference from Registration Statement No. 333-265637, Registration Statement No. 333-272723, and Registration Statement No. 333-289386 on Form S-8 of PENN Entertainment, Inc.</w:t>
      </w:r>
      <w:r>
        <w:rPr/>
        <w:t xml:space="preserve"> </w:t>
      </w:r>
    </w:p>
    <w:p>
      <w:pPr>
        <w:pStyle w:val="TextBody"/>
        <w:bidi w:val="0"/>
        <w:spacing w:before="0" w:after="0"/>
        <w:jc w:val="left"/>
        <w:rPr/>
      </w:pPr>
      <w:r>
        <w:rPr/>
        <w:t xml:space="preserve">  </w:t>
      </w:r>
    </w:p>
    <w:p>
      <w:pPr>
        <w:pStyle w:val="TextBody"/>
        <w:bidi w:val="0"/>
        <w:spacing w:before="0" w:after="0"/>
        <w:jc w:val="left"/>
        <w:rPr/>
      </w:pPr>
      <w:r>
        <w:rPr>
          <w:color w:val="000000"/>
          <w:sz w:val="20"/>
        </w:rPr>
        <w:t>/s/ Deloitte &amp; Touche LLP</w:t>
      </w:r>
      <w:r>
        <w:rPr/>
        <w:t xml:space="preserve"> </w:t>
      </w:r>
    </w:p>
    <w:p>
      <w:pPr>
        <w:pStyle w:val="TextBody"/>
        <w:bidi w:val="0"/>
        <w:spacing w:before="0" w:after="0"/>
        <w:jc w:val="left"/>
        <w:rPr/>
      </w:pPr>
      <w:r>
        <w:rPr>
          <w:color w:val="000000"/>
          <w:sz w:val="20"/>
        </w:rPr>
        <w:t>Philadelphia, Pennsylvania</w:t>
      </w:r>
      <w:r>
        <w:rPr/>
        <w:t xml:space="preserve"> </w:t>
      </w:r>
    </w:p>
    <w:p>
      <w:pPr>
        <w:pStyle w:val="TextBody"/>
        <w:bidi w:val="0"/>
        <w:spacing w:before="0" w:after="0"/>
        <w:jc w:val="left"/>
        <w:rPr/>
      </w:pPr>
      <w:r>
        <w:rPr>
          <w:sz w:val="20"/>
        </w:rPr>
        <w:t>August 10, 2026</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15" w:name="ef20079340_ex107.htm"/>
      <w:bookmarkStart w:id="16" w:name="ksef20079340_ex107"/>
      <w:bookmarkStart w:id="17" w:name="ef20079340_ex107.htm"/>
      <w:bookmarkStart w:id="18" w:name="ksef20079340_ex107"/>
      <w:bookmarkEnd w:id="17"/>
      <w:bookmarkEnd w:id="18"/>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FORM S-8</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PENN ENTERTAINMENT,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I: Newly Registered Securities</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989"/>
        <w:gridCol w:w="1390"/>
        <w:gridCol w:w="1321"/>
        <w:gridCol w:w="1310"/>
        <w:gridCol w:w="1245"/>
        <w:gridCol w:w="1349"/>
        <w:gridCol w:w="1128"/>
        <w:gridCol w:w="1473"/>
      </w:tblGrid>
      <w:tr>
        <w:trPr/>
        <w:tc>
          <w:tcPr>
            <w:tcW w:w="989"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left"/>
              <w:rPr/>
            </w:pPr>
            <w:r>
              <w:rPr/>
              <w:t> </w:t>
            </w:r>
          </w:p>
        </w:tc>
      </w:tr>
      <w:tr>
        <w:trPr/>
        <w:tc>
          <w:tcPr>
            <w:tcW w:w="98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1390"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32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Rule</w:t>
            </w:r>
            <w:r>
              <w:rPr/>
              <w:t xml:space="preserve"> </w:t>
            </w:r>
          </w:p>
        </w:tc>
        <w:tc>
          <w:tcPr>
            <w:tcW w:w="1310"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b/>
              </w:rPr>
            </w:pPr>
            <w:r>
              <w:rPr>
                <w:b/>
              </w:rPr>
              <w:t>Amount Registered(1)</w:t>
            </w:r>
          </w:p>
        </w:tc>
        <w:tc>
          <w:tcPr>
            <w:tcW w:w="1245"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 xml:space="preserve">Proposed Maximum Offering </w:t>
              <w:br/>
              <w:t>Price Per Unit</w:t>
            </w:r>
            <w:r>
              <w:rPr/>
              <w:t xml:space="preserve"> </w:t>
            </w:r>
          </w:p>
        </w:tc>
        <w:tc>
          <w:tcPr>
            <w:tcW w:w="134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Maximum Aggregate</w:t>
              <w:br/>
              <w:t>Offering Price</w:t>
            </w:r>
            <w:r>
              <w:rPr/>
              <w:t xml:space="preserve"> </w:t>
            </w:r>
          </w:p>
        </w:tc>
        <w:tc>
          <w:tcPr>
            <w:tcW w:w="1128"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473"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w:t>
            </w:r>
            <w:r>
              <w:rPr/>
              <w:t xml:space="preserve"> </w:t>
            </w:r>
          </w:p>
        </w:tc>
      </w:tr>
      <w:tr>
        <w:trPr/>
        <w:tc>
          <w:tcPr>
            <w:tcW w:w="98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1390"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Common Stock, par value $0.01 per share ("Common Stock") </w:t>
            </w:r>
          </w:p>
        </w:tc>
        <w:tc>
          <w:tcPr>
            <w:tcW w:w="132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457(a)</w:t>
            </w:r>
            <w:r>
              <w:rPr>
                <w:position w:val="8"/>
                <w:sz w:val="19"/>
              </w:rPr>
              <w:t>(2)</w:t>
            </w:r>
          </w:p>
        </w:tc>
        <w:tc>
          <w:tcPr>
            <w:tcW w:w="1310"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4,000,000</w:t>
            </w:r>
            <w:r>
              <w:rPr>
                <w:position w:val="8"/>
                <w:sz w:val="19"/>
              </w:rPr>
              <w:t>(3)</w:t>
            </w:r>
          </w:p>
        </w:tc>
        <w:tc>
          <w:tcPr>
            <w:tcW w:w="1245"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$20.31 </w:t>
            </w:r>
          </w:p>
        </w:tc>
        <w:tc>
          <w:tcPr>
            <w:tcW w:w="134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$81,240,000 </w:t>
            </w:r>
          </w:p>
        </w:tc>
        <w:tc>
          <w:tcPr>
            <w:tcW w:w="1128"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0.0001381 </w:t>
            </w:r>
          </w:p>
        </w:tc>
        <w:tc>
          <w:tcPr>
            <w:tcW w:w="147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$11,219.24 </w:t>
            </w:r>
          </w:p>
        </w:tc>
      </w:tr>
      <w:tr>
        <w:trPr/>
        <w:tc>
          <w:tcPr>
            <w:tcW w:w="5010"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Total Offering Amounts</w:t>
            </w:r>
            <w:r>
              <w:rPr/>
              <w:t xml:space="preserve"> </w:t>
            </w:r>
          </w:p>
        </w:tc>
        <w:tc>
          <w:tcPr>
            <w:tcW w:w="12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4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$81,240,000 </w:t>
            </w:r>
          </w:p>
        </w:tc>
        <w:tc>
          <w:tcPr>
            <w:tcW w:w="112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7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$11,219.24 </w:t>
            </w:r>
          </w:p>
        </w:tc>
      </w:tr>
      <w:tr>
        <w:trPr/>
        <w:tc>
          <w:tcPr>
            <w:tcW w:w="5010"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rPr>
              <w:t>Total Fee Offsets</w:t>
            </w:r>
            <w:r>
              <w:rPr/>
              <w:t xml:space="preserve"> </w:t>
            </w:r>
          </w:p>
        </w:tc>
        <w:tc>
          <w:tcPr>
            <w:tcW w:w="1245"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49"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128"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7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 </w:t>
            </w:r>
          </w:p>
        </w:tc>
      </w:tr>
      <w:tr>
        <w:trPr/>
        <w:tc>
          <w:tcPr>
            <w:tcW w:w="5010"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rPr>
              <w:t>Net Fee Due</w:t>
            </w:r>
            <w:r>
              <w:rPr/>
              <w:t xml:space="preserve"> </w:t>
            </w:r>
          </w:p>
        </w:tc>
        <w:tc>
          <w:tcPr>
            <w:tcW w:w="12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12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7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$11,219.24 </w:t>
            </w:r>
          </w:p>
        </w:tc>
      </w:tr>
    </w:tbl>
    <w:tbl>
      <w:tblPr>
        <w:tblW w:w="10205" w:type="dxa"/>
        <w:jc w:val="left"/>
        <w:tblInd w:w="0" w:type="dxa"/>
        <w:tblLayout w:type="fixed"/>
        <w:tblCellMar>
          <w:top w:w="28" w:type="dxa"/>
          <w:left w:w="28" w:type="dxa"/>
          <w:bottom w:w="28" w:type="dxa"/>
          <w:right w:w="28" w:type="dxa"/>
        </w:tblCellMar>
      </w:tblPr>
      <w:tblGrid>
        <w:gridCol w:w="304"/>
        <w:gridCol w:w="9901"/>
      </w:tblGrid>
      <w:tr>
        <w:trPr/>
        <w:tc>
          <w:tcPr>
            <w:tcW w:w="304" w:type="dxa"/>
            <w:tcBorders/>
            <w:vAlign w:val="center"/>
          </w:tcPr>
          <w:p>
            <w:pPr>
              <w:pStyle w:val="TableContents"/>
              <w:bidi w:val="0"/>
              <w:spacing w:before="0" w:after="283"/>
              <w:jc w:val="left"/>
              <w:rPr/>
            </w:pPr>
            <w:r>
              <w:rPr/>
              <w:t> </w:t>
            </w:r>
          </w:p>
        </w:tc>
        <w:tc>
          <w:tcPr>
            <w:tcW w:w="9901" w:type="dxa"/>
            <w:tcBorders/>
            <w:vAlign w:val="center"/>
          </w:tcPr>
          <w:p>
            <w:pPr>
              <w:pStyle w:val="TableContents"/>
              <w:bidi w:val="0"/>
              <w:spacing w:before="0" w:after="283"/>
              <w:jc w:val="left"/>
              <w:rPr/>
            </w:pPr>
            <w:r>
              <w:rPr/>
              <w:t> </w:t>
            </w:r>
          </w:p>
        </w:tc>
      </w:tr>
      <w:tr>
        <w:trPr/>
        <w:tc>
          <w:tcPr>
            <w:tcW w:w="304"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901" w:type="dxa"/>
            <w:tcBorders/>
            <w:tcMar>
              <w:top w:w="0" w:type="dxa"/>
              <w:left w:w="0" w:type="dxa"/>
              <w:bottom w:w="0" w:type="dxa"/>
              <w:right w:w="0" w:type="dxa"/>
            </w:tcMar>
            <w:vAlign w:val="center"/>
          </w:tcPr>
          <w:p>
            <w:pPr>
              <w:pStyle w:val="TableContents"/>
              <w:bidi w:val="0"/>
              <w:spacing w:before="0" w:after="80"/>
              <w:jc w:val="left"/>
              <w:rPr/>
            </w:pPr>
            <w:r>
              <w:rPr>
                <w:sz w:val="20"/>
              </w:rPr>
              <w:t>Pursuant to Rule 416 under the Securities Act of 1933, as amended (the “Securities Act”), this registration statement shall also cover an indeterminate number of additional shares of Common Stock of PENN Entertainment, Inc. (the “Registrant”) that may, with respect to the shares of Common Stock registered hereunder, become issuable under the Registrant’s 2022 Long Term Incentive Compensation Plan, as amended (the “2022 Plan”), by reason of any stock dividend, stock split, recapitalization or other similar transaction effected without the Registrant’s receipt of consideration, which results in an increase in the number of the Registrant’s outstanding shares of Common Stock.</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35"/>
        <w:gridCol w:w="9870"/>
      </w:tblGrid>
      <w:tr>
        <w:trPr/>
        <w:tc>
          <w:tcPr>
            <w:tcW w:w="335"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w:t>
            </w:r>
          </w:p>
        </w:tc>
      </w:tr>
      <w:tr>
        <w:trPr/>
        <w:tc>
          <w:tcPr>
            <w:tcW w:w="335" w:type="dxa"/>
            <w:tcBorders/>
            <w:tcMar>
              <w:top w:w="0" w:type="dxa"/>
              <w:left w:w="0" w:type="dxa"/>
              <w:bottom w:w="0" w:type="dxa"/>
              <w:right w:w="0" w:type="dxa"/>
            </w:tcMar>
            <w:vAlign w:val="center"/>
          </w:tcPr>
          <w:p>
            <w:pPr>
              <w:pStyle w:val="TableContents"/>
              <w:bidi w:val="0"/>
              <w:spacing w:before="0" w:after="80"/>
              <w:jc w:val="left"/>
              <w:rPr/>
            </w:pPr>
            <w:r>
              <w:rPr>
                <w:sz w:val="20"/>
              </w:rPr>
              <w:t>(2)</w:t>
            </w:r>
            <w:r>
              <w:rPr/>
              <w:t xml:space="preserve"> </w:t>
            </w:r>
          </w:p>
        </w:tc>
        <w:tc>
          <w:tcPr>
            <w:tcW w:w="9870" w:type="dxa"/>
            <w:tcBorders/>
            <w:tcMar>
              <w:top w:w="0" w:type="dxa"/>
              <w:left w:w="0" w:type="dxa"/>
              <w:bottom w:w="0" w:type="dxa"/>
              <w:right w:w="0" w:type="dxa"/>
            </w:tcMar>
            <w:vAlign w:val="center"/>
          </w:tcPr>
          <w:p>
            <w:pPr>
              <w:pStyle w:val="TableContents"/>
              <w:bidi w:val="0"/>
              <w:spacing w:before="0" w:after="80"/>
              <w:jc w:val="left"/>
              <w:rPr/>
            </w:pPr>
            <w:r>
              <w:rPr>
                <w:sz w:val="20"/>
              </w:rPr>
              <w:t>Estimated solely for the purpose of calculating the registration fee pursuant to Rules 457(c) and (h) under the Securities Act, on the basis of the average of the high and low prices per share of the Common Stock as reported on The Nasdaq Stock Market LLC on August 3, 2026.</w:t>
            </w:r>
            <w:r>
              <w:rPr/>
              <w:t xml:space="preserve"> </w:t>
            </w:r>
          </w:p>
        </w:tc>
      </w:tr>
    </w:tbl>
    <w:tbl>
      <w:tblPr>
        <w:tblW w:w="9002" w:type="dxa"/>
        <w:jc w:val="left"/>
        <w:tblInd w:w="0" w:type="dxa"/>
        <w:tblLayout w:type="fixed"/>
        <w:tblCellMar>
          <w:top w:w="28" w:type="dxa"/>
          <w:left w:w="28" w:type="dxa"/>
          <w:bottom w:w="28" w:type="dxa"/>
          <w:right w:w="28" w:type="dxa"/>
        </w:tblCellMar>
      </w:tblPr>
      <w:tblGrid>
        <w:gridCol w:w="406"/>
        <w:gridCol w:w="8596"/>
      </w:tblGrid>
      <w:tr>
        <w:trPr/>
        <w:tc>
          <w:tcPr>
            <w:tcW w:w="406" w:type="dxa"/>
            <w:tcBorders/>
            <w:vAlign w:val="center"/>
          </w:tcPr>
          <w:p>
            <w:pPr>
              <w:pStyle w:val="TableContents"/>
              <w:bidi w:val="0"/>
              <w:spacing w:before="0" w:after="283"/>
              <w:jc w:val="left"/>
              <w:rPr/>
            </w:pPr>
            <w:r>
              <w:rPr/>
              <w:t> </w:t>
            </w:r>
          </w:p>
        </w:tc>
        <w:tc>
          <w:tcPr>
            <w:tcW w:w="8596" w:type="dxa"/>
            <w:tcBorders/>
            <w:vAlign w:val="center"/>
          </w:tcPr>
          <w:p>
            <w:pPr>
              <w:pStyle w:val="TableContents"/>
              <w:bidi w:val="0"/>
              <w:spacing w:before="0" w:after="283"/>
              <w:jc w:val="left"/>
              <w:rPr/>
            </w:pPr>
            <w:r>
              <w:rPr/>
              <w:t> </w:t>
            </w:r>
          </w:p>
        </w:tc>
      </w:tr>
      <w:tr>
        <w:trPr/>
        <w:tc>
          <w:tcPr>
            <w:tcW w:w="406" w:type="dxa"/>
            <w:tcBorders/>
            <w:tcMar>
              <w:top w:w="0" w:type="dxa"/>
              <w:left w:w="0" w:type="dxa"/>
              <w:bottom w:w="0" w:type="dxa"/>
              <w:right w:w="0" w:type="dxa"/>
            </w:tcMar>
            <w:vAlign w:val="center"/>
          </w:tcPr>
          <w:p>
            <w:pPr>
              <w:pStyle w:val="TableContents"/>
              <w:bidi w:val="0"/>
              <w:spacing w:before="0" w:after="80"/>
              <w:jc w:val="left"/>
              <w:rPr/>
            </w:pPr>
            <w:r>
              <w:rPr>
                <w:sz w:val="20"/>
              </w:rPr>
              <w:t>(3)</w:t>
            </w:r>
            <w:r>
              <w:rPr/>
              <w:t xml:space="preserve"> </w:t>
            </w:r>
          </w:p>
        </w:tc>
        <w:tc>
          <w:tcPr>
            <w:tcW w:w="8596" w:type="dxa"/>
            <w:tcBorders/>
            <w:tcMar>
              <w:top w:w="0" w:type="dxa"/>
              <w:left w:w="0" w:type="dxa"/>
              <w:bottom w:w="0" w:type="dxa"/>
              <w:right w:w="0" w:type="dxa"/>
            </w:tcMar>
            <w:vAlign w:val="center"/>
          </w:tcPr>
          <w:p>
            <w:pPr>
              <w:pStyle w:val="TableContents"/>
              <w:bidi w:val="0"/>
              <w:spacing w:before="0" w:after="80"/>
              <w:jc w:val="left"/>
              <w:rPr/>
            </w:pPr>
            <w:r>
              <w:rPr>
                <w:sz w:val="20"/>
              </w:rPr>
              <w:t>Represents an additional 4,000,000 shares of Common Stock reserved for issuance under the 2022 Plan.</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1738/000092173822000027/forms-8x61522.htm" TargetMode="External"/><Relationship Id="rId3" Type="http://schemas.openxmlformats.org/officeDocument/2006/relationships/hyperlink" Target="https://www.sec.gov/Archives/edgar/data/921738/000114036123030263/brhc20054430_s8.htm" TargetMode="External"/><Relationship Id="rId4" Type="http://schemas.openxmlformats.org/officeDocument/2006/relationships/hyperlink" Target="https://www.sec.gov/Archives/edgar/data/921738/000114036125029640/ef20053320_s8.htm" TargetMode="External"/><Relationship Id="rId5" Type="http://schemas.openxmlformats.org/officeDocument/2006/relationships/hyperlink" Target="https://www.sec.gov/Archives/edgar/data/921738/000092173821000034/articlesofincorporation-62.htm" TargetMode="External"/><Relationship Id="rId6" Type="http://schemas.openxmlformats.org/officeDocument/2006/relationships/hyperlink" Target="https://www.sec.gov/Archives/edgar/data/921738/000092173822000037/pennex3106302022.htm" TargetMode="External"/><Relationship Id="rId7" Type="http://schemas.openxmlformats.org/officeDocument/2006/relationships/hyperlink" Target="https://www.sec.gov/Archives/edgar/data/921738/000110465925119994/tm2533114d1_ex3-1.htm" TargetMode="External"/><Relationship Id="rId8" Type="http://schemas.openxmlformats.org/officeDocument/2006/relationships/hyperlink" Target="https://www.sec.gov/Archives/edgar/data/921738/000092173826000022/pennex10206302026.htm"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2188</Words>
  <Characters>11939</Characters>
  <CharactersWithSpaces>14361</CharactersWithSpaces>
  <Paragraphs>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