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428625</wp:posOffset>
            </wp:positionV>
            <wp:extent cx="713486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19" w:lineRule="exact"/>
        <w:rPr>
          <w:sz w:val="24"/>
          <w:szCs w:val="24"/>
          <w:color w:val="auto"/>
        </w:rPr>
      </w:pPr>
    </w:p>
    <w:p>
      <w:pPr>
        <w:ind w:left="580" w:hanging="421"/>
        <w:spacing w:after="0"/>
        <w:tabs>
          <w:tab w:leader="none" w:pos="5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8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quarterly period ended September 30, 2026</w:t>
      </w:r>
    </w:p>
    <w:p>
      <w:pPr>
        <w:spacing w:after="0" w:line="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38" w:lineRule="exact"/>
        <w:rPr>
          <w:sz w:val="24"/>
          <w:szCs w:val="24"/>
          <w:color w:val="auto"/>
        </w:rPr>
      </w:pPr>
    </w:p>
    <w:p>
      <w:pPr>
        <w:ind w:left="580" w:hanging="421"/>
        <w:spacing w:after="0"/>
        <w:tabs>
          <w:tab w:leader="none" w:pos="5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84"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6"/>
          <w:szCs w:val="16"/>
          <w:b w:val="1"/>
          <w:bCs w:val="1"/>
          <w:color w:val="auto"/>
        </w:rPr>
        <w:t>For the transition period from __________ to __________</w:t>
      </w:r>
    </w:p>
    <w:p>
      <w:pPr>
        <w:spacing w:after="0" w:line="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0-24206</w:t>
      </w:r>
    </w:p>
    <w:p>
      <w:pPr>
        <w:spacing w:after="0" w:line="1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2"/>
          <w:szCs w:val="42"/>
          <w:b w:val="1"/>
          <w:bCs w:val="1"/>
          <w:color w:val="auto"/>
        </w:rPr>
        <w:t>PENN Entertainment, Inc.</w:t>
      </w:r>
    </w:p>
    <w:p>
      <w:pPr>
        <w:spacing w:after="0" w:line="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38" w:orient="portrait"/>
          <w:cols w:equalWidth="0" w:num="1">
            <w:col w:w="11240"/>
          </w:cols>
          <w:pgMar w:left="320" w:top="227" w:right="339" w:bottom="1440" w:gutter="0" w:footer="0" w:header="0"/>
        </w:sectPr>
      </w:pPr>
    </w:p>
    <w:p>
      <w:pPr>
        <w:spacing w:after="0" w:line="128" w:lineRule="exact"/>
        <w:rPr>
          <w:sz w:val="24"/>
          <w:szCs w:val="24"/>
          <w:color w:val="auto"/>
        </w:rPr>
      </w:pPr>
    </w:p>
    <w:p>
      <w:pPr>
        <w:ind w:left="2660"/>
        <w:spacing w:after="0"/>
        <w:rPr>
          <w:sz w:val="20"/>
          <w:szCs w:val="20"/>
          <w:color w:val="auto"/>
        </w:rPr>
      </w:pPr>
      <w:r>
        <w:rPr>
          <w:rFonts w:ascii="Times New Roman" w:cs="Times New Roman" w:eastAsia="Times New Roman" w:hAnsi="Times New Roman"/>
          <w:sz w:val="15"/>
          <w:szCs w:val="15"/>
          <w:b w:val="1"/>
          <w:bCs w:val="1"/>
          <w:color w:val="auto"/>
        </w:rPr>
        <w:t>Pennsylvania</w:t>
      </w:r>
    </w:p>
    <w:p>
      <w:pPr>
        <w:spacing w:after="0" w:line="20" w:lineRule="exact"/>
        <w:rPr>
          <w:sz w:val="24"/>
          <w:szCs w:val="24"/>
          <w:color w:val="auto"/>
        </w:rPr>
      </w:pPr>
      <w:r>
        <w:rPr>
          <w:sz w:val="24"/>
          <w:szCs w:val="24"/>
          <w:color w:val="auto"/>
        </w:rPr>
        <w:br w:type="column"/>
      </w:r>
    </w:p>
    <w:p>
      <w:pPr>
        <w:spacing w:after="0" w:line="108"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23-2234473</w:t>
      </w:r>
    </w:p>
    <w:p>
      <w:pPr>
        <w:spacing w:after="0" w:line="82" w:lineRule="exact"/>
        <w:rPr>
          <w:sz w:val="24"/>
          <w:szCs w:val="24"/>
          <w:color w:val="auto"/>
        </w:rPr>
      </w:pPr>
    </w:p>
    <w:p>
      <w:pPr>
        <w:sectPr>
          <w:pgSz w:w="11900" w:h="16838" w:orient="portrait"/>
          <w:cols w:equalWidth="0" w:num="2">
            <w:col w:w="7700" w:space="720"/>
            <w:col w:w="2820"/>
          </w:cols>
          <w:pgMar w:left="320" w:top="227" w:right="339" w:bottom="1440" w:gutter="0" w:footer="0" w:header="0"/>
          <w:type w:val="continuous"/>
        </w:sectPr>
      </w:pPr>
    </w:p>
    <w:p>
      <w:pPr>
        <w:ind w:left="1200"/>
        <w:spacing w:after="0"/>
        <w:rPr>
          <w:sz w:val="20"/>
          <w:szCs w:val="20"/>
          <w:color w:val="auto"/>
        </w:rPr>
      </w:pPr>
      <w:r>
        <w:rPr>
          <w:rFonts w:ascii="Times New Roman" w:cs="Times New Roman" w:eastAsia="Times New Roman" w:hAnsi="Times New Roman"/>
          <w:sz w:val="15"/>
          <w:szCs w:val="15"/>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(I.R.S. employer identification no.)</w:t>
      </w:r>
    </w:p>
    <w:p>
      <w:pPr>
        <w:spacing w:after="0" w:line="78" w:lineRule="exact"/>
        <w:rPr>
          <w:sz w:val="24"/>
          <w:szCs w:val="24"/>
          <w:color w:val="auto"/>
        </w:rPr>
      </w:pPr>
    </w:p>
    <w:p>
      <w:pPr>
        <w:sectPr>
          <w:pgSz w:w="11900" w:h="16838" w:orient="portrait"/>
          <w:cols w:equalWidth="0" w:num="2">
            <w:col w:w="6960" w:space="720"/>
            <w:col w:w="3560"/>
          </w:cols>
          <w:pgMar w:left="320" w:top="227" w:right="339" w:bottom="1440" w:gutter="0" w:footer="0" w:header="0"/>
          <w:type w:val="continuous"/>
        </w:sectPr>
      </w:pPr>
    </w:p>
    <w:p>
      <w:pPr>
        <w:ind w:left="2080"/>
        <w:spacing w:after="0"/>
        <w:rPr>
          <w:sz w:val="20"/>
          <w:szCs w:val="20"/>
          <w:color w:val="auto"/>
        </w:rPr>
      </w:pPr>
      <w:r>
        <w:rPr>
          <w:rFonts w:ascii="Times New Roman" w:cs="Times New Roman" w:eastAsia="Times New Roman" w:hAnsi="Times New Roman"/>
          <w:sz w:val="15"/>
          <w:szCs w:val="15"/>
          <w:b w:val="1"/>
          <w:bCs w:val="1"/>
          <w:color w:val="auto"/>
        </w:rPr>
        <w:t>825 Berkshire Blvd.,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Wyomissing,</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Pennsylvania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19610</w:t>
      </w:r>
    </w:p>
    <w:p>
      <w:pPr>
        <w:spacing w:after="0" w:line="70" w:lineRule="exact"/>
        <w:rPr>
          <w:sz w:val="24"/>
          <w:szCs w:val="24"/>
          <w:color w:val="auto"/>
        </w:rPr>
      </w:pPr>
    </w:p>
    <w:p>
      <w:pPr>
        <w:sectPr>
          <w:pgSz w:w="11900" w:h="16838" w:orient="portrait"/>
          <w:cols w:equalWidth="0" w:num="4">
            <w:col w:w="4560" w:space="720"/>
            <w:col w:w="880" w:space="340"/>
            <w:col w:w="1380" w:space="720"/>
            <w:col w:w="2640"/>
          </w:cols>
          <w:pgMar w:left="320" w:top="227" w:right="339" w:bottom="1440" w:gutter="0" w:footer="0" w:header="0"/>
          <w:type w:val="continuous"/>
        </w:sectPr>
      </w:pPr>
    </w:p>
    <w:p>
      <w:pPr>
        <w:jc w:val="center"/>
        <w:ind w:left="940"/>
        <w:spacing w:after="0"/>
        <w:rPr>
          <w:sz w:val="20"/>
          <w:szCs w:val="20"/>
          <w:color w:val="auto"/>
        </w:rPr>
      </w:pPr>
      <w:r>
        <w:rPr>
          <w:rFonts w:ascii="Times New Roman" w:cs="Times New Roman" w:eastAsia="Times New Roman" w:hAnsi="Times New Roman"/>
          <w:sz w:val="15"/>
          <w:szCs w:val="15"/>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(Zip code)</w:t>
      </w:r>
    </w:p>
    <w:p>
      <w:pPr>
        <w:spacing w:after="0" w:line="200" w:lineRule="exact"/>
        <w:rPr>
          <w:sz w:val="24"/>
          <w:szCs w:val="24"/>
          <w:color w:val="auto"/>
        </w:rPr>
      </w:pPr>
    </w:p>
    <w:p>
      <w:pPr>
        <w:sectPr>
          <w:pgSz w:w="11900" w:h="16838" w:orient="portrait"/>
          <w:cols w:equalWidth="0" w:num="2">
            <w:col w:w="7760" w:space="720"/>
            <w:col w:w="2760"/>
          </w:cols>
          <w:pgMar w:left="320" w:top="227" w:right="339" w:bottom="1440" w:gutter="0" w:footer="0" w:header="0"/>
          <w:type w:val="continuous"/>
        </w:sectPr>
      </w:pP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(610) 373-2400</w:t>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17" w:lineRule="exact"/>
        <w:rPr>
          <w:sz w:val="24"/>
          <w:szCs w:val="24"/>
          <w:color w:val="auto"/>
        </w:rPr>
      </w:pPr>
    </w:p>
    <w:tbl>
      <w:tblPr>
        <w:tblLayout w:type="fixed"/>
        <w:tblInd w:w="30" w:type="dxa"/>
        <w:tblCellMar>
          <w:top w:w="0" w:type="dxa"/>
          <w:left w:w="0" w:type="dxa"/>
          <w:bottom w:w="0" w:type="dxa"/>
          <w:right w:w="0" w:type="dxa"/>
        </w:tblCellMar>
      </w:tblPr>
      <w:tr>
        <w:trPr>
          <w:trHeight w:val="236"/>
        </w:trPr>
        <w:tc>
          <w:tcPr>
            <w:tcW w:w="44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2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44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Name of each exchange on which registered</w:t>
            </w:r>
          </w:p>
        </w:tc>
      </w:tr>
      <w:tr>
        <w:trPr>
          <w:trHeight w:val="219"/>
        </w:trPr>
        <w:tc>
          <w:tcPr>
            <w:tcW w:w="4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Common Stock, $0.01 par value per share</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PENN</w:t>
            </w:r>
          </w:p>
        </w:tc>
        <w:tc>
          <w:tcPr>
            <w:tcW w:w="4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The Nasdaq Stock Market LLC</w:t>
            </w:r>
          </w:p>
        </w:tc>
      </w:tr>
    </w:tbl>
    <w:p>
      <w:pPr>
        <w:spacing w:after="0" w:line="185" w:lineRule="exact"/>
        <w:rPr>
          <w:sz w:val="24"/>
          <w:szCs w:val="24"/>
          <w:color w:val="auto"/>
        </w:rPr>
      </w:pPr>
    </w:p>
    <w:p>
      <w:pPr>
        <w:ind w:right="180" w:firstLine="319"/>
        <w:spacing w:after="0" w:line="20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ind w:right="260" w:firstLine="319"/>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ind w:firstLine="319"/>
        <w:spacing w:after="0" w:line="308"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6" w:lineRule="exact"/>
        <w:rPr>
          <w:sz w:val="24"/>
          <w:szCs w:val="24"/>
          <w:color w:val="auto"/>
        </w:rPr>
      </w:pPr>
    </w:p>
    <w:tbl>
      <w:tblPr>
        <w:tblLayout w:type="fixed"/>
        <w:tblInd w:w="2040" w:type="dxa"/>
        <w:tblCellMar>
          <w:top w:w="0" w:type="dxa"/>
          <w:left w:w="0" w:type="dxa"/>
          <w:bottom w:w="0" w:type="dxa"/>
          <w:right w:w="0" w:type="dxa"/>
        </w:tblCellMar>
      </w:tblPr>
      <w:tr>
        <w:trPr>
          <w:trHeight w:val="226"/>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140" w:type="dxa"/>
            <w:vAlign w:val="bottom"/>
          </w:tcPr>
          <w:p>
            <w:pPr>
              <w:ind w:left="920"/>
              <w:spacing w:after="0" w:line="161" w:lineRule="exact"/>
              <w:rPr>
                <w:sz w:val="20"/>
                <w:szCs w:val="20"/>
                <w:color w:val="auto"/>
              </w:rPr>
            </w:pPr>
            <w:r>
              <w:rPr>
                <w:rFonts w:ascii="MS PGothic" w:cs="MS PGothic" w:eastAsia="MS PGothic" w:hAnsi="MS PGothic"/>
                <w:sz w:val="16"/>
                <w:szCs w:val="16"/>
                <w:color w:val="auto"/>
              </w:rPr>
              <w:t>☑</w:t>
            </w:r>
          </w:p>
        </w:tc>
        <w:tc>
          <w:tcPr>
            <w:tcW w:w="2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Accelerated filer</w:t>
            </w:r>
          </w:p>
        </w:tc>
        <w:tc>
          <w:tcPr>
            <w:tcW w:w="920" w:type="dxa"/>
            <w:vAlign w:val="bottom"/>
          </w:tcPr>
          <w:p>
            <w:pPr>
              <w:ind w:left="7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26"/>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140" w:type="dxa"/>
            <w:vAlign w:val="bottom"/>
          </w:tcPr>
          <w:p>
            <w:pPr>
              <w:ind w:left="920"/>
              <w:spacing w:after="0" w:line="161" w:lineRule="exact"/>
              <w:rPr>
                <w:sz w:val="20"/>
                <w:szCs w:val="20"/>
                <w:color w:val="auto"/>
              </w:rPr>
            </w:pPr>
            <w:r>
              <w:rPr>
                <w:rFonts w:ascii="MS PGothic" w:cs="MS PGothic" w:eastAsia="MS PGothic" w:hAnsi="MS PGothic"/>
                <w:sz w:val="16"/>
                <w:szCs w:val="16"/>
                <w:color w:val="auto"/>
              </w:rPr>
              <w:t>☐</w:t>
            </w:r>
          </w:p>
        </w:tc>
        <w:tc>
          <w:tcPr>
            <w:tcW w:w="2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920" w:type="dxa"/>
            <w:vAlign w:val="bottom"/>
          </w:tcPr>
          <w:p>
            <w:pPr>
              <w:ind w:left="7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68"/>
        </w:trPr>
        <w:tc>
          <w:tcPr>
            <w:tcW w:w="2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Emerging growth company</w:t>
            </w:r>
          </w:p>
        </w:tc>
        <w:tc>
          <w:tcPr>
            <w:tcW w:w="920" w:type="dxa"/>
            <w:vAlign w:val="bottom"/>
          </w:tcPr>
          <w:p>
            <w:pPr>
              <w:ind w:left="7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53" w:lineRule="exact"/>
        <w:rPr>
          <w:sz w:val="24"/>
          <w:szCs w:val="24"/>
          <w:color w:val="auto"/>
        </w:rPr>
      </w:pPr>
    </w:p>
    <w:p>
      <w:pPr>
        <w:ind w:right="440" w:firstLine="319"/>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5" w:lineRule="exact"/>
        <w:rPr>
          <w:sz w:val="24"/>
          <w:szCs w:val="24"/>
          <w:color w:val="auto"/>
        </w:rPr>
      </w:pPr>
    </w:p>
    <w:p>
      <w:pPr>
        <w:ind w:left="32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44" w:lineRule="exact"/>
        <w:rPr>
          <w:sz w:val="24"/>
          <w:szCs w:val="24"/>
          <w:color w:val="auto"/>
        </w:rPr>
      </w:pPr>
    </w:p>
    <w:p>
      <w:pPr>
        <w:ind w:right="140" w:firstLine="319"/>
        <w:spacing w:after="0" w:line="256" w:lineRule="auto"/>
        <w:rPr>
          <w:sz w:val="20"/>
          <w:szCs w:val="20"/>
          <w:color w:val="auto"/>
        </w:rPr>
      </w:pPr>
      <w:r>
        <w:rPr>
          <w:rFonts w:ascii="Times New Roman" w:cs="Times New Roman" w:eastAsia="Times New Roman" w:hAnsi="Times New Roman"/>
          <w:sz w:val="16"/>
          <w:szCs w:val="16"/>
          <w:color w:val="auto"/>
        </w:rPr>
        <w:t>As of October 29, 2026, the number of shares of the registrant’s common stock outstanding was 134,253,794 (including 98,920 shares of a subsidiary of registrant which are exchangeable into registrant’s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725170</wp:posOffset>
            </wp:positionV>
            <wp:extent cx="716026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113665</wp:posOffset>
            </wp:positionV>
            <wp:extent cx="71348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PENN ENTERTAINMENT,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Borders>
              <w:bottom w:val="single" w:sz="8" w:color="auto"/>
            </w:tcBorders>
            <w:gridSpan w:val="4"/>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79"/>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20" w:type="dxa"/>
            <w:vAlign w:val="bottom"/>
            <w:gridSpan w:val="12"/>
          </w:tcPr>
          <w:p>
            <w:pPr>
              <w:jc w:val="center"/>
              <w:ind w:right="2360"/>
              <w:spacing w:after="0" w:line="179" w:lineRule="exact"/>
              <w:rPr>
                <w:sz w:val="20"/>
                <w:szCs w:val="20"/>
                <w:color w:val="auto"/>
              </w:rPr>
            </w:pPr>
            <w:r>
              <w:rPr>
                <w:rFonts w:ascii="Times New Roman" w:cs="Times New Roman" w:eastAsia="Times New Roman" w:hAnsi="Times New Roman"/>
                <w:sz w:val="18"/>
                <w:szCs w:val="18"/>
                <w:b w:val="1"/>
                <w:bCs w:val="1"/>
                <w:color w:val="0000FF"/>
                <w:w w:val="97"/>
              </w:rPr>
              <w:t>PART I. FINANCIAL INFORMATION</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9"/>
        </w:trPr>
        <w:tc>
          <w:tcPr>
            <w:tcW w:w="20" w:type="dxa"/>
            <w:vAlign w:val="bottom"/>
          </w:tcPr>
          <w:p>
            <w:pPr>
              <w:spacing w:after="0"/>
              <w:rPr>
                <w:sz w:val="19"/>
                <w:szCs w:val="19"/>
                <w:color w:val="auto"/>
              </w:rPr>
            </w:pPr>
          </w:p>
        </w:tc>
        <w:tc>
          <w:tcPr>
            <w:tcW w:w="41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Item 1. Financial Statements (Unaudited)</w:t>
            </w:r>
          </w:p>
        </w:tc>
        <w:tc>
          <w:tcPr>
            <w:tcW w:w="3020" w:type="dxa"/>
            <w:vAlign w:val="bottom"/>
            <w:tcBorders>
              <w:top w:val="single" w:sz="8" w:color="0000FF"/>
            </w:tcBorders>
            <w:gridSpan w:val="6"/>
          </w:tcPr>
          <w:p>
            <w:pPr>
              <w:spacing w:after="0"/>
              <w:rPr>
                <w:sz w:val="19"/>
                <w:szCs w:val="19"/>
                <w:color w:val="auto"/>
              </w:rPr>
            </w:pPr>
          </w:p>
        </w:tc>
        <w:tc>
          <w:tcPr>
            <w:tcW w:w="2780" w:type="dxa"/>
            <w:vAlign w:val="bottom"/>
            <w:gridSpan w:val="5"/>
          </w:tcPr>
          <w:p>
            <w:pPr>
              <w:spacing w:after="0"/>
              <w:rPr>
                <w:sz w:val="19"/>
                <w:szCs w:val="19"/>
                <w:color w:val="auto"/>
              </w:rPr>
            </w:pPr>
          </w:p>
        </w:tc>
        <w:tc>
          <w:tcPr>
            <w:tcW w:w="13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5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Consolidated Balance Sheets - September 30, 2026 and December 31, 2025</w:t>
            </w:r>
          </w:p>
        </w:tc>
        <w:tc>
          <w:tcPr>
            <w:tcW w:w="13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60" w:type="dxa"/>
            <w:vAlign w:val="bottom"/>
            <w:tcBorders>
              <w:left w:val="single" w:sz="8" w:color="0000FF"/>
            </w:tcBorders>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7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8"/>
              </w:rPr>
              <w:t>Consolidated Statements of Operations - for the Three and Nine Months Ended September 30, 2026 and 2025</w:t>
            </w:r>
          </w:p>
        </w:tc>
        <w:tc>
          <w:tcPr>
            <w:tcW w:w="1800" w:type="dxa"/>
            <w:vAlign w:val="bottom"/>
            <w:gridSpan w:val="3"/>
          </w:tcPr>
          <w:p>
            <w:pPr>
              <w:spacing w:after="0"/>
              <w:rPr>
                <w:sz w:val="19"/>
                <w:szCs w:val="19"/>
                <w:color w:val="auto"/>
              </w:rPr>
            </w:pPr>
          </w:p>
        </w:tc>
        <w:tc>
          <w:tcPr>
            <w:tcW w:w="13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8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5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(Loss) - for the Three and Nine Months Ended September 30, 2026 and 2025</w:t>
            </w:r>
          </w:p>
        </w:tc>
        <w:tc>
          <w:tcPr>
            <w:tcW w:w="13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60" w:type="dxa"/>
            <w:vAlign w:val="bottom"/>
            <w:tcBorders>
              <w:left w:val="single" w:sz="8" w:color="0000FF"/>
            </w:tcBorders>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3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w w:val="98"/>
              </w:rPr>
              <w:t>Consolidated Statements of Changes in Stockholders’ Equity - for the Three and Nine Months Ended September 30, 2026 and 2025</w:t>
            </w:r>
          </w:p>
        </w:tc>
        <w:tc>
          <w:tcPr>
            <w:tcW w:w="240" w:type="dxa"/>
            <w:vAlign w:val="bottom"/>
          </w:tcPr>
          <w:p>
            <w:pPr>
              <w:spacing w:after="0"/>
              <w:rPr>
                <w:sz w:val="19"/>
                <w:szCs w:val="19"/>
                <w:color w:val="auto"/>
              </w:rPr>
            </w:pPr>
          </w:p>
        </w:tc>
        <w:tc>
          <w:tcPr>
            <w:tcW w:w="13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8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260" w:type="dxa"/>
            <w:vAlign w:val="bottom"/>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8"/>
              </w:rPr>
              <w:t>Consolidated Statements of Cash Flows - for the Nine Months Ended September 30, 2026 and 2025</w:t>
            </w:r>
          </w:p>
        </w:tc>
        <w:tc>
          <w:tcPr>
            <w:tcW w:w="2260" w:type="dxa"/>
            <w:vAlign w:val="bottom"/>
            <w:gridSpan w:val="3"/>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60" w:type="dxa"/>
            <w:vAlign w:val="bottom"/>
            <w:tcBorders>
              <w:left w:val="single" w:sz="8" w:color="0000FF"/>
            </w:tcBorders>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Notes to the Consolidated Financial Statements</w:t>
            </w:r>
          </w:p>
        </w:tc>
        <w:tc>
          <w:tcPr>
            <w:tcW w:w="2500" w:type="dxa"/>
            <w:vAlign w:val="bottom"/>
            <w:gridSpan w:val="4"/>
          </w:tcPr>
          <w:p>
            <w:pPr>
              <w:spacing w:after="0"/>
              <w:rPr>
                <w:sz w:val="19"/>
                <w:szCs w:val="19"/>
                <w:color w:val="auto"/>
              </w:rPr>
            </w:pPr>
          </w:p>
        </w:tc>
        <w:tc>
          <w:tcPr>
            <w:tcW w:w="13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40" w:type="dxa"/>
            <w:vAlign w:val="bottom"/>
            <w:gridSpan w:val="6"/>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99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13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36</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60" w:type="dxa"/>
            <w:vAlign w:val="bottom"/>
            <w:tcBorders>
              <w:left w:val="single" w:sz="8" w:color="0000FF"/>
            </w:tcBorders>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48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7"/>
              </w:rPr>
              <w:t>Item 3. Quantitative and Qualitative Disclosures About Market Risk</w:t>
            </w:r>
          </w:p>
        </w:tc>
        <w:tc>
          <w:tcPr>
            <w:tcW w:w="2080" w:type="dxa"/>
            <w:vAlign w:val="bottom"/>
            <w:gridSpan w:val="2"/>
          </w:tcPr>
          <w:p>
            <w:pPr>
              <w:spacing w:after="0"/>
              <w:rPr>
                <w:sz w:val="19"/>
                <w:szCs w:val="19"/>
                <w:color w:val="auto"/>
              </w:rPr>
            </w:pPr>
          </w:p>
        </w:tc>
        <w:tc>
          <w:tcPr>
            <w:tcW w:w="3000" w:type="dxa"/>
            <w:vAlign w:val="bottom"/>
            <w:gridSpan w:val="7"/>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55</w:t>
            </w:r>
          </w:p>
        </w:tc>
      </w:tr>
      <w:tr>
        <w:trPr>
          <w:trHeight w:val="20"/>
        </w:trPr>
        <w:tc>
          <w:tcPr>
            <w:tcW w:w="2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960" w:type="dxa"/>
            <w:vAlign w:val="bottom"/>
            <w:gridSpan w:val="4"/>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140" w:type="dxa"/>
            <w:vAlign w:val="bottom"/>
            <w:tcBorders>
              <w:left w:val="single" w:sz="8" w:color="0000FF"/>
            </w:tcBorders>
            <w:gridSpan w:val="3"/>
          </w:tcPr>
          <w:p>
            <w:pPr>
              <w:spacing w:after="0" w:line="20" w:lineRule="exact"/>
              <w:rPr>
                <w:sz w:val="1"/>
                <w:szCs w:val="1"/>
                <w:color w:val="auto"/>
              </w:rPr>
            </w:pPr>
          </w:p>
        </w:tc>
        <w:tc>
          <w:tcPr>
            <w:tcW w:w="2940" w:type="dxa"/>
            <w:vAlign w:val="bottom"/>
            <w:gridSpan w:val="6"/>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48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5080" w:type="dxa"/>
            <w:vAlign w:val="bottom"/>
            <w:gridSpan w:val="9"/>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55</w:t>
            </w:r>
          </w:p>
        </w:tc>
      </w:tr>
      <w:tr>
        <w:trPr>
          <w:trHeight w:val="219"/>
        </w:trPr>
        <w:tc>
          <w:tcPr>
            <w:tcW w:w="20" w:type="dxa"/>
            <w:vAlign w:val="bottom"/>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380" w:type="dxa"/>
            <w:vAlign w:val="bottom"/>
            <w:tcBorders>
              <w:top w:val="single" w:sz="8" w:color="0000FF"/>
            </w:tcBorders>
          </w:tcPr>
          <w:p>
            <w:pPr>
              <w:spacing w:after="0"/>
              <w:rPr>
                <w:sz w:val="19"/>
                <w:szCs w:val="19"/>
                <w:color w:val="auto"/>
              </w:rPr>
            </w:pPr>
          </w:p>
        </w:tc>
        <w:tc>
          <w:tcPr>
            <w:tcW w:w="420" w:type="dxa"/>
            <w:vAlign w:val="bottom"/>
            <w:tcBorders>
              <w:top w:val="single" w:sz="8" w:color="0000FF"/>
            </w:tcBorders>
          </w:tcPr>
          <w:p>
            <w:pPr>
              <w:spacing w:after="0"/>
              <w:rPr>
                <w:sz w:val="19"/>
                <w:szCs w:val="19"/>
                <w:color w:val="auto"/>
              </w:rPr>
            </w:pPr>
          </w:p>
        </w:tc>
        <w:tc>
          <w:tcPr>
            <w:tcW w:w="280" w:type="dxa"/>
            <w:vAlign w:val="bottom"/>
            <w:tcBorders>
              <w:top w:val="single" w:sz="8" w:color="0000FF"/>
            </w:tcBorders>
          </w:tcPr>
          <w:p>
            <w:pPr>
              <w:spacing w:after="0"/>
              <w:rPr>
                <w:sz w:val="19"/>
                <w:szCs w:val="19"/>
                <w:color w:val="auto"/>
              </w:rPr>
            </w:pPr>
          </w:p>
        </w:tc>
        <w:tc>
          <w:tcPr>
            <w:tcW w:w="440" w:type="dxa"/>
            <w:vAlign w:val="bottom"/>
            <w:tcBorders>
              <w:top w:val="single" w:sz="8" w:color="0000FF"/>
            </w:tcBorders>
          </w:tcPr>
          <w:p>
            <w:pPr>
              <w:spacing w:after="0"/>
              <w:rPr>
                <w:sz w:val="19"/>
                <w:szCs w:val="19"/>
                <w:color w:val="auto"/>
              </w:rPr>
            </w:pP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60" w:type="dxa"/>
            <w:vAlign w:val="bottom"/>
            <w:gridSpan w:val="10"/>
          </w:tcPr>
          <w:p>
            <w:pPr>
              <w:jc w:val="center"/>
              <w:ind w:right="2940"/>
              <w:spacing w:after="0"/>
              <w:rPr>
                <w:sz w:val="20"/>
                <w:szCs w:val="20"/>
                <w:color w:val="auto"/>
              </w:rPr>
            </w:pPr>
            <w:r>
              <w:rPr>
                <w:rFonts w:ascii="Times New Roman" w:cs="Times New Roman" w:eastAsia="Times New Roman" w:hAnsi="Times New Roman"/>
                <w:sz w:val="18"/>
                <w:szCs w:val="18"/>
                <w:b w:val="1"/>
                <w:bCs w:val="1"/>
                <w:color w:val="0000FF"/>
                <w:w w:val="97"/>
              </w:rPr>
              <w:t>PART II. OTHER INFORMATION</w:t>
            </w:r>
          </w:p>
        </w:tc>
        <w:tc>
          <w:tcPr>
            <w:tcW w:w="1120" w:type="dxa"/>
            <w:vAlign w:val="bottom"/>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372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0000FF"/>
              </w:rPr>
              <w:t>Legal Proceedings</w:t>
            </w:r>
          </w:p>
        </w:tc>
        <w:tc>
          <w:tcPr>
            <w:tcW w:w="2720" w:type="dxa"/>
            <w:vAlign w:val="bottom"/>
            <w:tcBorders>
              <w:top w:val="single" w:sz="8" w:color="0000FF"/>
            </w:tcBorders>
            <w:gridSpan w:val="4"/>
          </w:tcPr>
          <w:p>
            <w:pPr>
              <w:spacing w:after="0"/>
              <w:rPr>
                <w:sz w:val="19"/>
                <w:szCs w:val="19"/>
                <w:color w:val="auto"/>
              </w:rPr>
            </w:pPr>
          </w:p>
        </w:tc>
        <w:tc>
          <w:tcPr>
            <w:tcW w:w="2940" w:type="dxa"/>
            <w:vAlign w:val="bottom"/>
            <w:gridSpan w:val="6"/>
          </w:tcPr>
          <w:p>
            <w:pPr>
              <w:spacing w:after="0"/>
              <w:rPr>
                <w:sz w:val="19"/>
                <w:szCs w:val="19"/>
                <w:color w:val="auto"/>
              </w:rPr>
            </w:pPr>
          </w:p>
        </w:tc>
        <w:tc>
          <w:tcPr>
            <w:tcW w:w="13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56</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18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8060" w:type="dxa"/>
            <w:vAlign w:val="bottom"/>
            <w:gridSpan w:val="15"/>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56</w:t>
            </w: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980" w:type="dxa"/>
            <w:vAlign w:val="bottom"/>
            <w:gridSpan w:val="6"/>
          </w:tcPr>
          <w:p>
            <w:pPr>
              <w:spacing w:after="0" w:line="20" w:lineRule="exact"/>
              <w:rPr>
                <w:sz w:val="1"/>
                <w:szCs w:val="1"/>
                <w:color w:val="auto"/>
              </w:rPr>
            </w:pPr>
          </w:p>
        </w:tc>
        <w:tc>
          <w:tcPr>
            <w:tcW w:w="5080" w:type="dxa"/>
            <w:vAlign w:val="bottom"/>
            <w:gridSpan w:val="9"/>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9380" w:type="dxa"/>
            <w:vAlign w:val="bottom"/>
            <w:gridSpan w:val="19"/>
          </w:tcPr>
          <w:p>
            <w:pPr>
              <w:ind w:left="20"/>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3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56</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Item 5.</w:t>
            </w:r>
          </w:p>
        </w:tc>
        <w:tc>
          <w:tcPr>
            <w:tcW w:w="430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0000FF"/>
              </w:rPr>
              <w:t>Other Information</w:t>
            </w:r>
          </w:p>
        </w:tc>
        <w:tc>
          <w:tcPr>
            <w:tcW w:w="5080" w:type="dxa"/>
            <w:vAlign w:val="bottom"/>
            <w:gridSpan w:val="9"/>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56</w:t>
            </w: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60" w:type="dxa"/>
            <w:vAlign w:val="bottom"/>
            <w:gridSpan w:val="15"/>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gridSpan w:val="2"/>
          </w:tcPr>
          <w:p>
            <w:pPr>
              <w:spacing w:after="0"/>
              <w:rPr>
                <w:sz w:val="19"/>
                <w:szCs w:val="19"/>
                <w:color w:val="auto"/>
              </w:rPr>
            </w:pPr>
          </w:p>
        </w:tc>
        <w:tc>
          <w:tcPr>
            <w:tcW w:w="8060" w:type="dxa"/>
            <w:vAlign w:val="bottom"/>
            <w:gridSpan w:val="15"/>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57</w:t>
            </w:r>
          </w:p>
        </w:tc>
      </w:tr>
      <w:tr>
        <w:trPr>
          <w:trHeight w:val="20"/>
        </w:trPr>
        <w:tc>
          <w:tcPr>
            <w:tcW w:w="2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760" w:type="dxa"/>
            <w:vAlign w:val="bottom"/>
            <w:gridSpan w:val="17"/>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8760" w:type="dxa"/>
            <w:vAlign w:val="bottom"/>
            <w:gridSpan w:val="17"/>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58</w:t>
            </w:r>
          </w:p>
        </w:tc>
      </w:tr>
      <w:tr>
        <w:trPr>
          <w:trHeight w:val="969"/>
        </w:trPr>
        <w:tc>
          <w:tcPr>
            <w:tcW w:w="20" w:type="dxa"/>
            <w:vAlign w:val="bottom"/>
            <w:tcBorders>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PART I.</w:t>
      </w:r>
      <w:r>
        <w:rPr>
          <w:sz w:val="20"/>
          <w:szCs w:val="20"/>
          <w:color w:val="auto"/>
        </w:rPr>
        <w:tab/>
      </w:r>
      <w:r>
        <w:rPr>
          <w:rFonts w:ascii="Times New Roman" w:cs="Times New Roman" w:eastAsia="Times New Roman" w:hAnsi="Times New Roman"/>
          <w:sz w:val="17"/>
          <w:szCs w:val="17"/>
          <w:b w:val="1"/>
          <w:bCs w:val="1"/>
          <w:color w:val="auto"/>
        </w:rPr>
        <w:t>FINANCIAL INFORMATION</w:t>
      </w:r>
    </w:p>
    <w:p>
      <w:pPr>
        <w:spacing w:after="0" w:line="19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366"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187960</wp:posOffset>
            </wp:positionV>
            <wp:extent cx="716026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PENN ENTERTAINMENT, INC. AND SUBSIDIARIES</w:t>
      </w:r>
    </w:p>
    <w:p>
      <w:pPr>
        <w:spacing w:after="0" w:line="2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share and per share data)</w:t>
            </w:r>
          </w:p>
        </w:tc>
        <w:tc>
          <w:tcPr>
            <w:tcW w:w="120" w:type="dxa"/>
            <w:vAlign w:val="bottom"/>
          </w:tcPr>
          <w:p>
            <w:pPr>
              <w:spacing w:after="0"/>
              <w:rPr>
                <w:sz w:val="13"/>
                <w:szCs w:val="13"/>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60" w:type="dxa"/>
            <w:vAlign w:val="bottom"/>
          </w:tcPr>
          <w:p>
            <w:pPr>
              <w:spacing w:after="0"/>
              <w:rPr>
                <w:sz w:val="13"/>
                <w:szCs w:val="13"/>
                <w:color w:val="auto"/>
              </w:rPr>
            </w:pPr>
          </w:p>
        </w:tc>
        <w:tc>
          <w:tcPr>
            <w:tcW w:w="1380" w:type="dxa"/>
            <w:vAlign w:val="bottom"/>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2360" w:type="dxa"/>
            <w:vAlign w:val="bottom"/>
            <w:tcBorders>
              <w:top w:val="single" w:sz="8" w:color="auto"/>
              <w:bottom w:val="single" w:sz="8" w:color="CCEEFF"/>
            </w:tcBorders>
          </w:tcPr>
          <w:p>
            <w:pPr>
              <w:spacing w:after="0"/>
              <w:rPr>
                <w:sz w:val="2"/>
                <w:szCs w:val="2"/>
                <w:color w:val="auto"/>
              </w:rPr>
            </w:pPr>
          </w:p>
        </w:tc>
        <w:tc>
          <w:tcPr>
            <w:tcW w:w="280" w:type="dxa"/>
            <w:vAlign w:val="bottom"/>
            <w:tcBorders>
              <w:top w:val="single" w:sz="8" w:color="auto"/>
              <w:bottom w:val="single" w:sz="8" w:color="CCEEFF"/>
            </w:tcBorders>
          </w:tcPr>
          <w:p>
            <w:pPr>
              <w:spacing w:after="0"/>
              <w:rPr>
                <w:sz w:val="2"/>
                <w:szCs w:val="2"/>
                <w:color w:val="auto"/>
              </w:rPr>
            </w:pPr>
          </w:p>
        </w:tc>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20" w:type="dxa"/>
            <w:vAlign w:val="bottom"/>
            <w:tcBorders>
              <w:bottom w:val="single" w:sz="8" w:color="CCEEFF"/>
            </w:tcBorders>
            <w:shd w:val="clear" w:color="auto" w:fill="CCEEFF"/>
          </w:tcPr>
          <w:p>
            <w:pPr>
              <w:spacing w:after="0"/>
              <w:rPr>
                <w:sz w:val="15"/>
                <w:szCs w:val="15"/>
                <w:color w:val="auto"/>
              </w:rPr>
            </w:pPr>
          </w:p>
        </w:tc>
        <w:tc>
          <w:tcPr>
            <w:tcW w:w="80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0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802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1,044.8</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02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Accounts receivable, net</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254.2</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802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Prepaid expenses</w:t>
            </w:r>
          </w:p>
        </w:tc>
        <w:tc>
          <w:tcPr>
            <w:tcW w:w="12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120.9</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02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Other current assets</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w:t>
            </w:r>
          </w:p>
        </w:tc>
        <w:tc>
          <w:tcPr>
            <w:tcW w:w="0" w:type="dxa"/>
            <w:vAlign w:val="bottom"/>
          </w:tcPr>
          <w:p>
            <w:pPr>
              <w:spacing w:after="0"/>
              <w:rPr>
                <w:sz w:val="1"/>
                <w:szCs w:val="1"/>
                <w:color w:val="auto"/>
              </w:rPr>
            </w:pPr>
          </w:p>
        </w:tc>
      </w:tr>
      <w:tr>
        <w:trPr>
          <w:trHeight w:val="24"/>
        </w:trPr>
        <w:tc>
          <w:tcPr>
            <w:tcW w:w="2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shd w:val="clear" w:color="auto" w:fill="CCEEFF"/>
          </w:tcPr>
          <w:p>
            <w:pPr>
              <w:spacing w:after="0"/>
              <w:rPr>
                <w:sz w:val="16"/>
                <w:szCs w:val="16"/>
                <w:color w:val="auto"/>
              </w:rPr>
            </w:pPr>
          </w:p>
        </w:tc>
        <w:tc>
          <w:tcPr>
            <w:tcW w:w="8020" w:type="dxa"/>
            <w:vAlign w:val="bottom"/>
            <w:tcBorders>
              <w:bottom w:val="single" w:sz="8" w:color="CCEEFF"/>
            </w:tcBorders>
            <w:gridSpan w:val="3"/>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current assets</w:t>
            </w:r>
          </w:p>
        </w:tc>
        <w:tc>
          <w:tcPr>
            <w:tcW w:w="12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1,458.4</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1,166.1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0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3,441.9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3,717.3</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80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Investment in and advances to unconsolidated affiliates</w:t>
            </w:r>
          </w:p>
        </w:tc>
        <w:tc>
          <w:tcPr>
            <w:tcW w:w="12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0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Goodwill</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1,764.4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1,786.6</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80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intangible assets, net</w:t>
            </w:r>
          </w:p>
        </w:tc>
        <w:tc>
          <w:tcPr>
            <w:tcW w:w="12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1,375.5</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1,404.8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0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3,776.2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3,966.1</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80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 lease right-of-use assets</w:t>
            </w:r>
          </w:p>
        </w:tc>
        <w:tc>
          <w:tcPr>
            <w:tcW w:w="12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1,883.9</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1,924.3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0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223.9</w:t>
            </w:r>
          </w:p>
        </w:tc>
        <w:tc>
          <w:tcPr>
            <w:tcW w:w="0" w:type="dxa"/>
            <w:vAlign w:val="bottom"/>
          </w:tcPr>
          <w:p>
            <w:pPr>
              <w:spacing w:after="0"/>
              <w:rPr>
                <w:sz w:val="1"/>
                <w:szCs w:val="1"/>
                <w:color w:val="auto"/>
              </w:rPr>
            </w:pPr>
          </w:p>
        </w:tc>
      </w:tr>
      <w:tr>
        <w:trPr>
          <w:trHeight w:val="24"/>
        </w:trPr>
        <w:tc>
          <w:tcPr>
            <w:tcW w:w="2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0" w:type="dxa"/>
            <w:vAlign w:val="bottom"/>
            <w:tcBorders>
              <w:bottom w:val="single" w:sz="8" w:color="CCEEFF"/>
            </w:tcBorders>
            <w:shd w:val="clear" w:color="auto" w:fill="CCEEFF"/>
          </w:tcPr>
          <w:p>
            <w:pPr>
              <w:spacing w:after="0"/>
              <w:rPr>
                <w:sz w:val="19"/>
                <w:szCs w:val="19"/>
                <w:color w:val="auto"/>
              </w:rPr>
            </w:pPr>
          </w:p>
        </w:tc>
        <w:tc>
          <w:tcPr>
            <w:tcW w:w="80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13,994.9</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14,268.5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80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2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0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802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Accounts payable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02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Current maturities of long-term debt</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802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Current portion of financing obligations</w:t>
            </w:r>
          </w:p>
        </w:tc>
        <w:tc>
          <w:tcPr>
            <w:tcW w:w="12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02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Current portion of operating lease liabilities</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386.0</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802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Current portion of finance lease liabilities</w:t>
            </w:r>
          </w:p>
        </w:tc>
        <w:tc>
          <w:tcPr>
            <w:tcW w:w="12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02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902.7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905.6</w:t>
            </w:r>
          </w:p>
        </w:tc>
        <w:tc>
          <w:tcPr>
            <w:tcW w:w="0" w:type="dxa"/>
            <w:vAlign w:val="bottom"/>
          </w:tcPr>
          <w:p>
            <w:pPr>
              <w:spacing w:after="0"/>
              <w:rPr>
                <w:sz w:val="1"/>
                <w:szCs w:val="1"/>
                <w:color w:val="auto"/>
              </w:rPr>
            </w:pPr>
          </w:p>
        </w:tc>
      </w:tr>
      <w:tr>
        <w:trPr>
          <w:trHeight w:val="24"/>
        </w:trPr>
        <w:tc>
          <w:tcPr>
            <w:tcW w:w="2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shd w:val="clear" w:color="auto" w:fill="CCEEFF"/>
          </w:tcPr>
          <w:p>
            <w:pPr>
              <w:spacing w:after="0"/>
              <w:rPr>
                <w:sz w:val="16"/>
                <w:szCs w:val="16"/>
                <w:color w:val="auto"/>
              </w:rPr>
            </w:pPr>
          </w:p>
        </w:tc>
        <w:tc>
          <w:tcPr>
            <w:tcW w:w="8020" w:type="dxa"/>
            <w:vAlign w:val="bottom"/>
            <w:tcBorders>
              <w:bottom w:val="single" w:sz="8" w:color="CCEEFF"/>
            </w:tcBorders>
            <w:gridSpan w:val="3"/>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2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1,518.4</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1,475.5</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0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Long-term debt, net of current maturities, debt discounts, and debt issuance costs</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2,735.2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2,848.9</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80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Long-term portion of financing obligations</w:t>
            </w:r>
          </w:p>
        </w:tc>
        <w:tc>
          <w:tcPr>
            <w:tcW w:w="12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2,262.3</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2,297.8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0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Long-term portion of operating lease liabilities</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3,376.2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3,592.4</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80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Long-term portion of finance lease liabilities</w:t>
            </w:r>
          </w:p>
        </w:tc>
        <w:tc>
          <w:tcPr>
            <w:tcW w:w="12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1,994.0</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2,017.4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0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Deferred income taxes</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87.8</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Borders>
              <w:bottom w:val="single" w:sz="8" w:color="CCEEFF"/>
            </w:tcBorders>
            <w:shd w:val="clear" w:color="auto" w:fill="CCEEFF"/>
          </w:tcPr>
          <w:p>
            <w:pPr>
              <w:spacing w:after="0"/>
              <w:rPr>
                <w:sz w:val="18"/>
                <w:szCs w:val="18"/>
                <w:color w:val="auto"/>
              </w:rPr>
            </w:pPr>
          </w:p>
        </w:tc>
        <w:tc>
          <w:tcPr>
            <w:tcW w:w="80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12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20" w:type="dxa"/>
            <w:vAlign w:val="bottom"/>
            <w:gridSpan w:val="3"/>
          </w:tcPr>
          <w:p>
            <w:pPr>
              <w:ind w:left="440"/>
              <w:spacing w:after="0"/>
              <w:rPr>
                <w:sz w:val="20"/>
                <w:szCs w:val="20"/>
                <w:color w:val="auto"/>
              </w:rPr>
            </w:pPr>
            <w:r>
              <w:rPr>
                <w:rFonts w:ascii="Times New Roman" w:cs="Times New Roman" w:eastAsia="Times New Roman" w:hAnsi="Times New Roman"/>
                <w:sz w:val="14"/>
                <w:szCs w:val="14"/>
                <w:color w:val="auto"/>
              </w:rPr>
              <w:t>Total liabilities</w:t>
            </w:r>
          </w:p>
        </w:tc>
        <w:tc>
          <w:tcPr>
            <w:tcW w:w="12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12,097.7</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12,441.0</w:t>
            </w:r>
          </w:p>
        </w:tc>
        <w:tc>
          <w:tcPr>
            <w:tcW w:w="0" w:type="dxa"/>
            <w:vAlign w:val="bottom"/>
          </w:tcPr>
          <w:p>
            <w:pPr>
              <w:spacing w:after="0"/>
              <w:rPr>
                <w:sz w:val="1"/>
                <w:szCs w:val="1"/>
                <w:color w:val="auto"/>
              </w:rPr>
            </w:pPr>
          </w:p>
        </w:tc>
      </w:tr>
      <w:tr>
        <w:trPr>
          <w:trHeight w:val="24"/>
        </w:trPr>
        <w:tc>
          <w:tcPr>
            <w:tcW w:w="2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5"/>
                <w:szCs w:val="15"/>
                <w:color w:val="auto"/>
              </w:rPr>
            </w:pPr>
          </w:p>
        </w:tc>
        <w:tc>
          <w:tcPr>
            <w:tcW w:w="8020" w:type="dxa"/>
            <w:vAlign w:val="bottom"/>
            <w:gridSpan w:val="3"/>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0000FF"/>
              </w:rPr>
              <w:t>Commitments and contingencies (Note 9)</w:t>
            </w: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Borders>
              <w:top w:val="single" w:sz="8" w:color="CCEEFF"/>
            </w:tcBorders>
          </w:tcPr>
          <w:p>
            <w:pPr>
              <w:spacing w:after="0"/>
              <w:rPr>
                <w:sz w:val="16"/>
                <w:szCs w:val="16"/>
                <w:color w:val="auto"/>
              </w:rPr>
            </w:pPr>
          </w:p>
        </w:tc>
        <w:tc>
          <w:tcPr>
            <w:tcW w:w="23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5660" w:type="dxa"/>
            <w:vAlign w:val="bottom"/>
            <w:tcBorders>
              <w:top w:val="single" w:sz="8" w:color="CCEEFF"/>
            </w:tcBorders>
            <w:gridSpan w:val="2"/>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4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38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802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Series B Preferred stock ($0.01 par value, 1,000,000 shares authorized, no shares issued and outstanding)</w:t>
            </w:r>
          </w:p>
        </w:tc>
        <w:tc>
          <w:tcPr>
            <w:tcW w:w="12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02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Series C Preferred stock ($0.01 par value, 18,500 shares authorized, no shares issued and outstanding)</w:t>
            </w:r>
          </w:p>
        </w:tc>
        <w:tc>
          <w:tcPr>
            <w:tcW w:w="120" w:type="dxa"/>
            <w:vAlign w:val="bottom"/>
          </w:tcPr>
          <w:p>
            <w:pPr>
              <w:spacing w:after="0"/>
              <w:rPr>
                <w:sz w:val="16"/>
                <w:szCs w:val="16"/>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802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Series D Preferred stock ($0.01 par value, 5,000 shares authorized, no shares issued and outstanding)</w:t>
            </w:r>
          </w:p>
        </w:tc>
        <w:tc>
          <w:tcPr>
            <w:tcW w:w="12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20" w:type="dxa"/>
            <w:vAlign w:val="bottom"/>
            <w:gridSpan w:val="3"/>
          </w:tcPr>
          <w:p>
            <w:pPr>
              <w:ind w:left="200"/>
              <w:spacing w:after="0" w:line="150" w:lineRule="exact"/>
              <w:rPr>
                <w:sz w:val="20"/>
                <w:szCs w:val="20"/>
                <w:color w:val="auto"/>
              </w:rPr>
            </w:pPr>
            <w:r>
              <w:rPr>
                <w:rFonts w:ascii="Times New Roman" w:cs="Times New Roman" w:eastAsia="Times New Roman" w:hAnsi="Times New Roman"/>
                <w:sz w:val="14"/>
                <w:szCs w:val="14"/>
                <w:color w:val="auto"/>
              </w:rPr>
              <w:t>Common stock ($0.01 par value, 400,000,000 shares authorized, 179,328,908 and 177,841,991 shares issued, and 134,071,175 and</w:t>
            </w:r>
          </w:p>
        </w:tc>
        <w:tc>
          <w:tcPr>
            <w:tcW w:w="120" w:type="dxa"/>
            <w:vAlign w:val="bottom"/>
          </w:tcPr>
          <w:p>
            <w:pPr>
              <w:spacing w:after="0"/>
              <w:rPr>
                <w:sz w:val="13"/>
                <w:szCs w:val="13"/>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02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132,584,258 shares outstanding)</w:t>
            </w:r>
          </w:p>
        </w:tc>
        <w:tc>
          <w:tcPr>
            <w:tcW w:w="12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shd w:val="clear" w:color="auto" w:fill="CCEEFF"/>
          </w:tcPr>
          <w:p>
            <w:pPr>
              <w:spacing w:after="0"/>
              <w:rPr>
                <w:sz w:val="17"/>
                <w:szCs w:val="17"/>
                <w:color w:val="auto"/>
              </w:rPr>
            </w:pPr>
          </w:p>
        </w:tc>
        <w:tc>
          <w:tcPr>
            <w:tcW w:w="802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Exchangeable shares ($0.01 par value, 768,441 shares authorized and issued in both periods, 98,920 and 379,821 shares outstanding)</w:t>
            </w:r>
          </w:p>
        </w:tc>
        <w:tc>
          <w:tcPr>
            <w:tcW w:w="12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02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Treasury stock, at cost (45,257,733 shares in both periods)</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(1,137.2)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(1,137.2)</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802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2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4,689.1</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4,652.8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02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Accumulated deficit</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(1,426.3)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(1,490.1)</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Borders>
              <w:bottom w:val="single" w:sz="8" w:color="CCEEFF"/>
            </w:tcBorders>
            <w:shd w:val="clear" w:color="auto" w:fill="CCEEFF"/>
          </w:tcPr>
          <w:p>
            <w:pPr>
              <w:spacing w:after="0"/>
              <w:rPr>
                <w:sz w:val="18"/>
                <w:szCs w:val="18"/>
                <w:color w:val="auto"/>
              </w:rPr>
            </w:pPr>
          </w:p>
        </w:tc>
        <w:tc>
          <w:tcPr>
            <w:tcW w:w="802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12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(222.3)</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20" w:type="dxa"/>
            <w:vAlign w:val="bottom"/>
            <w:gridSpan w:val="3"/>
          </w:tcPr>
          <w:p>
            <w:pPr>
              <w:ind w:left="440"/>
              <w:spacing w:after="0"/>
              <w:rPr>
                <w:sz w:val="20"/>
                <w:szCs w:val="20"/>
                <w:color w:val="auto"/>
              </w:rPr>
            </w:pPr>
            <w:r>
              <w:rPr>
                <w:rFonts w:ascii="Times New Roman" w:cs="Times New Roman" w:eastAsia="Times New Roman" w:hAnsi="Times New Roman"/>
                <w:sz w:val="14"/>
                <w:szCs w:val="14"/>
                <w:color w:val="auto"/>
              </w:rPr>
              <w:t>Total PENN Entertainment, Inc. stockholders’ equity</w:t>
            </w:r>
          </w:p>
        </w:tc>
        <w:tc>
          <w:tcPr>
            <w:tcW w:w="12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1,905.1</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1,834.0</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Borders>
              <w:bottom w:val="single" w:sz="8" w:color="CCEEFF"/>
            </w:tcBorders>
            <w:shd w:val="clear" w:color="auto" w:fill="CCEEFF"/>
          </w:tcPr>
          <w:p>
            <w:pPr>
              <w:spacing w:after="0"/>
              <w:rPr>
                <w:sz w:val="18"/>
                <w:szCs w:val="18"/>
                <w:color w:val="auto"/>
              </w:rPr>
            </w:pPr>
          </w:p>
        </w:tc>
        <w:tc>
          <w:tcPr>
            <w:tcW w:w="802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Non-controlling interest</w:t>
            </w:r>
          </w:p>
        </w:tc>
        <w:tc>
          <w:tcPr>
            <w:tcW w:w="12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20" w:type="dxa"/>
            <w:vAlign w:val="bottom"/>
            <w:gridSpan w:val="3"/>
          </w:tcPr>
          <w:p>
            <w:pPr>
              <w:ind w:left="44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12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1,897.2</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1,827.5</w:t>
            </w:r>
          </w:p>
        </w:tc>
        <w:tc>
          <w:tcPr>
            <w:tcW w:w="0" w:type="dxa"/>
            <w:vAlign w:val="bottom"/>
          </w:tcPr>
          <w:p>
            <w:pPr>
              <w:spacing w:after="0"/>
              <w:rPr>
                <w:sz w:val="1"/>
                <w:szCs w:val="1"/>
                <w:color w:val="auto"/>
              </w:rPr>
            </w:pPr>
          </w:p>
        </w:tc>
      </w:tr>
      <w:tr>
        <w:trPr>
          <w:trHeight w:val="24"/>
        </w:trPr>
        <w:tc>
          <w:tcPr>
            <w:tcW w:w="2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0" w:type="dxa"/>
            <w:vAlign w:val="bottom"/>
            <w:tcBorders>
              <w:bottom w:val="single" w:sz="8" w:color="CCEEFF"/>
            </w:tcBorders>
            <w:shd w:val="clear" w:color="auto" w:fill="CCEEFF"/>
          </w:tcPr>
          <w:p>
            <w:pPr>
              <w:spacing w:after="0"/>
              <w:rPr>
                <w:sz w:val="19"/>
                <w:szCs w:val="19"/>
                <w:color w:val="auto"/>
              </w:rPr>
            </w:pPr>
          </w:p>
        </w:tc>
        <w:tc>
          <w:tcPr>
            <w:tcW w:w="80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13,994.9</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14,268.5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187960</wp:posOffset>
            </wp:positionV>
            <wp:extent cx="716026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47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929"/>
        </w:trPr>
        <w:tc>
          <w:tcPr>
            <w:tcW w:w="20" w:type="dxa"/>
            <w:vAlign w:val="bottom"/>
            <w:tcBorders>
              <w:top w:val="single" w:sz="8" w:color="0000FF"/>
            </w:tcBorders>
          </w:tcPr>
          <w:p>
            <w:pPr>
              <w:spacing w:after="0"/>
              <w:rPr>
                <w:sz w:val="24"/>
                <w:szCs w:val="24"/>
                <w:color w:val="auto"/>
              </w:rPr>
            </w:pPr>
          </w:p>
        </w:tc>
        <w:tc>
          <w:tcPr>
            <w:tcW w:w="1240" w:type="dxa"/>
            <w:vAlign w:val="bottom"/>
            <w:tcBorders>
              <w:top w:val="single" w:sz="8" w:color="0000FF"/>
            </w:tcBorders>
          </w:tcPr>
          <w:p>
            <w:pPr>
              <w:spacing w:after="0"/>
              <w:rPr>
                <w:sz w:val="24"/>
                <w:szCs w:val="24"/>
                <w:color w:val="auto"/>
              </w:rPr>
            </w:pPr>
          </w:p>
        </w:tc>
        <w:tc>
          <w:tcPr>
            <w:tcW w:w="800" w:type="dxa"/>
            <w:vAlign w:val="bottom"/>
          </w:tcPr>
          <w:p>
            <w:pPr>
              <w:spacing w:after="0"/>
              <w:rPr>
                <w:sz w:val="24"/>
                <w:szCs w:val="24"/>
                <w:color w:val="auto"/>
              </w:rPr>
            </w:pPr>
          </w:p>
        </w:tc>
        <w:tc>
          <w:tcPr>
            <w:tcW w:w="5820" w:type="dxa"/>
            <w:vAlign w:val="bottom"/>
            <w:gridSpan w:val="6"/>
          </w:tcPr>
          <w:p>
            <w:pPr>
              <w:jc w:val="center"/>
              <w:ind w:left="1231"/>
              <w:spacing w:after="0"/>
              <w:rPr>
                <w:sz w:val="20"/>
                <w:szCs w:val="20"/>
                <w:color w:val="auto"/>
              </w:rPr>
            </w:pPr>
            <w:r>
              <w:rPr>
                <w:rFonts w:ascii="Times New Roman" w:cs="Times New Roman" w:eastAsia="Times New Roman" w:hAnsi="Times New Roman"/>
                <w:sz w:val="18"/>
                <w:szCs w:val="18"/>
                <w:b w:val="1"/>
                <w:bCs w:val="1"/>
                <w:color w:val="auto"/>
                <w:w w:val="97"/>
              </w:rPr>
              <w:t>PENN ENTERTAINMENT, INC. AND SUBSIDIARIES</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20" w:type="dxa"/>
            <w:vAlign w:val="bottom"/>
            <w:gridSpan w:val="6"/>
          </w:tcPr>
          <w:p>
            <w:pPr>
              <w:jc w:val="center"/>
              <w:ind w:left="1231"/>
              <w:spacing w:after="0"/>
              <w:rPr>
                <w:sz w:val="20"/>
                <w:szCs w:val="20"/>
                <w:color w:val="auto"/>
              </w:rPr>
            </w:pPr>
            <w:r>
              <w:rPr>
                <w:rFonts w:ascii="Times New Roman" w:cs="Times New Roman" w:eastAsia="Times New Roman" w:hAnsi="Times New Roman"/>
                <w:sz w:val="18"/>
                <w:szCs w:val="18"/>
                <w:b w:val="1"/>
                <w:bCs w:val="1"/>
                <w:color w:val="auto"/>
                <w:w w:val="97"/>
              </w:rPr>
              <w:t>CONSOLIDATED STATEMENTS OF OPERATIONS</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7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05"/>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4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For the three months ended</w:t>
            </w:r>
          </w:p>
        </w:tc>
        <w:tc>
          <w:tcPr>
            <w:tcW w:w="140" w:type="dxa"/>
            <w:vAlign w:val="bottom"/>
          </w:tcPr>
          <w:p>
            <w:pPr>
              <w:spacing w:after="0"/>
              <w:rPr>
                <w:sz w:val="24"/>
                <w:szCs w:val="24"/>
                <w:color w:val="auto"/>
              </w:rPr>
            </w:pPr>
          </w:p>
        </w:tc>
        <w:tc>
          <w:tcPr>
            <w:tcW w:w="2240" w:type="dxa"/>
            <w:vAlign w:val="bottom"/>
            <w:gridSpan w:val="4"/>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w w:val="99"/>
              </w:rPr>
              <w:t>For the nine months ended</w:t>
            </w:r>
          </w:p>
        </w:tc>
      </w:tr>
      <w:tr>
        <w:trPr>
          <w:trHeight w:val="236"/>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4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140" w:type="dxa"/>
            <w:vAlign w:val="bottom"/>
          </w:tcPr>
          <w:p>
            <w:pPr>
              <w:spacing w:after="0"/>
              <w:rPr>
                <w:sz w:val="20"/>
                <w:szCs w:val="20"/>
                <w:color w:val="auto"/>
              </w:rPr>
            </w:pPr>
          </w:p>
        </w:tc>
        <w:tc>
          <w:tcPr>
            <w:tcW w:w="2240" w:type="dxa"/>
            <w:vAlign w:val="bottom"/>
            <w:gridSpan w:val="4"/>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182"/>
        </w:trPr>
        <w:tc>
          <w:tcPr>
            <w:tcW w:w="47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 share data)</w:t>
            </w:r>
          </w:p>
        </w:tc>
        <w:tc>
          <w:tcPr>
            <w:tcW w:w="16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311"/>
              <w:spacing w:after="0" w:line="166" w:lineRule="exact"/>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311"/>
              <w:spacing w:after="0" w:line="166" w:lineRule="exact"/>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291"/>
              <w:spacing w:after="0" w:line="166" w:lineRule="exact"/>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311"/>
              <w:spacing w:after="0" w:line="166" w:lineRule="exact"/>
              <w:rPr>
                <w:sz w:val="20"/>
                <w:szCs w:val="20"/>
                <w:color w:val="auto"/>
              </w:rPr>
            </w:pPr>
            <w:r>
              <w:rPr>
                <w:rFonts w:ascii="Times New Roman" w:cs="Times New Roman" w:eastAsia="Times New Roman" w:hAnsi="Times New Roman"/>
                <w:sz w:val="18"/>
                <w:szCs w:val="18"/>
                <w:b w:val="1"/>
                <w:bCs w:val="1"/>
                <w:color w:val="auto"/>
              </w:rPr>
              <w:t>2025</w:t>
            </w:r>
          </w:p>
        </w:tc>
      </w:tr>
      <w:tr>
        <w:trPr>
          <w:trHeight w:val="33"/>
        </w:trPr>
        <w:tc>
          <w:tcPr>
            <w:tcW w:w="20" w:type="dxa"/>
            <w:vAlign w:val="bottom"/>
            <w:tcBorders>
              <w:bottom w:val="single" w:sz="8" w:color="CCEEFF"/>
            </w:tcBorders>
          </w:tcPr>
          <w:p>
            <w:pPr>
              <w:spacing w:after="0"/>
              <w:rPr>
                <w:sz w:val="2"/>
                <w:szCs w:val="2"/>
                <w:color w:val="auto"/>
              </w:rPr>
            </w:pPr>
          </w:p>
        </w:tc>
        <w:tc>
          <w:tcPr>
            <w:tcW w:w="1240" w:type="dxa"/>
            <w:vAlign w:val="bottom"/>
            <w:tcBorders>
              <w:top w:val="single" w:sz="8" w:color="auto"/>
              <w:bottom w:val="single" w:sz="8" w:color="CCEEFF"/>
            </w:tcBorders>
          </w:tcPr>
          <w:p>
            <w:pPr>
              <w:spacing w:after="0"/>
              <w:rPr>
                <w:sz w:val="2"/>
                <w:szCs w:val="2"/>
                <w:color w:val="auto"/>
              </w:rPr>
            </w:pPr>
          </w:p>
        </w:tc>
        <w:tc>
          <w:tcPr>
            <w:tcW w:w="800" w:type="dxa"/>
            <w:vAlign w:val="bottom"/>
            <w:tcBorders>
              <w:top w:val="single" w:sz="8" w:color="auto"/>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9"/>
        </w:trPr>
        <w:tc>
          <w:tcPr>
            <w:tcW w:w="47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9"/>
        </w:trPr>
        <w:tc>
          <w:tcPr>
            <w:tcW w:w="20" w:type="dxa"/>
            <w:vAlign w:val="bottom"/>
          </w:tcPr>
          <w:p>
            <w:pPr>
              <w:spacing w:after="0"/>
              <w:rPr>
                <w:sz w:val="20"/>
                <w:szCs w:val="20"/>
                <w:color w:val="auto"/>
              </w:rPr>
            </w:pPr>
          </w:p>
        </w:tc>
        <w:tc>
          <w:tcPr>
            <w:tcW w:w="47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Gaming</w:t>
            </w: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1,371.2</w:t>
            </w:r>
          </w:p>
        </w:tc>
        <w:tc>
          <w:tcPr>
            <w:tcW w:w="80" w:type="dxa"/>
            <w:vAlign w:val="bottom"/>
          </w:tcPr>
          <w:p>
            <w:pPr>
              <w:spacing w:after="0"/>
              <w:rPr>
                <w:sz w:val="20"/>
                <w:szCs w:val="20"/>
                <w:color w:val="auto"/>
              </w:rPr>
            </w:pP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1,325.2</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4,102.1</w:t>
            </w:r>
          </w:p>
        </w:tc>
        <w:tc>
          <w:tcPr>
            <w:tcW w:w="100" w:type="dxa"/>
            <w:vAlign w:val="bottom"/>
          </w:tcPr>
          <w:p>
            <w:pPr>
              <w:spacing w:after="0"/>
              <w:rPr>
                <w:sz w:val="20"/>
                <w:szCs w:val="20"/>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3,991.2</w:t>
            </w:r>
          </w:p>
        </w:tc>
      </w:tr>
      <w:tr>
        <w:trPr>
          <w:trHeight w:val="239"/>
        </w:trPr>
        <w:tc>
          <w:tcPr>
            <w:tcW w:w="20" w:type="dxa"/>
            <w:vAlign w:val="bottom"/>
            <w:shd w:val="clear" w:color="auto" w:fill="CCEEFF"/>
          </w:tcPr>
          <w:p>
            <w:pPr>
              <w:spacing w:after="0"/>
              <w:rPr>
                <w:sz w:val="20"/>
                <w:szCs w:val="20"/>
                <w:color w:val="auto"/>
              </w:rPr>
            </w:pPr>
          </w:p>
        </w:tc>
        <w:tc>
          <w:tcPr>
            <w:tcW w:w="47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Food, beverage, hotel, and other</w:t>
            </w:r>
          </w:p>
        </w:tc>
        <w:tc>
          <w:tcPr>
            <w:tcW w:w="16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468.8</w:t>
            </w:r>
          </w:p>
        </w:tc>
        <w:tc>
          <w:tcPr>
            <w:tcW w:w="8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392.1</w:t>
            </w: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1,374.3</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1,163.6</w:t>
            </w:r>
          </w:p>
        </w:tc>
      </w:tr>
      <w:tr>
        <w:trPr>
          <w:trHeight w:val="232"/>
        </w:trPr>
        <w:tc>
          <w:tcPr>
            <w:tcW w:w="20" w:type="dxa"/>
            <w:vAlign w:val="bottom"/>
            <w:tcBorders>
              <w:bottom w:val="single" w:sz="8" w:color="CCEEFF"/>
            </w:tcBorders>
          </w:tcPr>
          <w:p>
            <w:pPr>
              <w:spacing w:after="0"/>
              <w:rPr>
                <w:sz w:val="20"/>
                <w:szCs w:val="20"/>
                <w:color w:val="auto"/>
              </w:rPr>
            </w:pPr>
          </w:p>
        </w:tc>
        <w:tc>
          <w:tcPr>
            <w:tcW w:w="4760" w:type="dxa"/>
            <w:vAlign w:val="bottom"/>
            <w:tcBorders>
              <w:bottom w:val="single" w:sz="8" w:color="CCEEFF"/>
            </w:tcBorders>
            <w:gridSpan w:val="3"/>
          </w:tcPr>
          <w:p>
            <w:pPr>
              <w:ind w:left="440"/>
              <w:spacing w:after="0"/>
              <w:rPr>
                <w:sz w:val="20"/>
                <w:szCs w:val="20"/>
                <w:color w:val="auto"/>
              </w:rPr>
            </w:pPr>
            <w:r>
              <w:rPr>
                <w:rFonts w:ascii="Times New Roman" w:cs="Times New Roman" w:eastAsia="Times New Roman" w:hAnsi="Times New Roman"/>
                <w:sz w:val="18"/>
                <w:szCs w:val="18"/>
                <w:color w:val="auto"/>
              </w:rPr>
              <w:t>Total revenues</w:t>
            </w:r>
          </w:p>
        </w:tc>
        <w:tc>
          <w:tcPr>
            <w:tcW w:w="16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1,840.0</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1,717.3</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5,476.4</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5,154.8</w:t>
            </w:r>
          </w:p>
        </w:tc>
      </w:tr>
      <w:tr>
        <w:trPr>
          <w:trHeight w:val="219"/>
        </w:trPr>
        <w:tc>
          <w:tcPr>
            <w:tcW w:w="47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9"/>
        </w:trPr>
        <w:tc>
          <w:tcPr>
            <w:tcW w:w="20" w:type="dxa"/>
            <w:vAlign w:val="bottom"/>
          </w:tcPr>
          <w:p>
            <w:pPr>
              <w:spacing w:after="0"/>
              <w:rPr>
                <w:sz w:val="20"/>
                <w:szCs w:val="20"/>
                <w:color w:val="auto"/>
              </w:rPr>
            </w:pPr>
          </w:p>
        </w:tc>
        <w:tc>
          <w:tcPr>
            <w:tcW w:w="47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Gaming</w:t>
            </w: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2,575.9</w:t>
            </w:r>
          </w:p>
        </w:tc>
      </w:tr>
      <w:tr>
        <w:trPr>
          <w:trHeight w:val="239"/>
        </w:trPr>
        <w:tc>
          <w:tcPr>
            <w:tcW w:w="20" w:type="dxa"/>
            <w:vAlign w:val="bottom"/>
            <w:shd w:val="clear" w:color="auto" w:fill="CCEEFF"/>
          </w:tcPr>
          <w:p>
            <w:pPr>
              <w:spacing w:after="0"/>
              <w:rPr>
                <w:sz w:val="20"/>
                <w:szCs w:val="20"/>
                <w:color w:val="auto"/>
              </w:rPr>
            </w:pPr>
          </w:p>
        </w:tc>
        <w:tc>
          <w:tcPr>
            <w:tcW w:w="47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Food, beverage, hotel, and other</w:t>
            </w:r>
          </w:p>
        </w:tc>
        <w:tc>
          <w:tcPr>
            <w:tcW w:w="1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345.5</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831.1</w:t>
            </w:r>
          </w:p>
        </w:tc>
      </w:tr>
      <w:tr>
        <w:trPr>
          <w:trHeight w:val="239"/>
        </w:trPr>
        <w:tc>
          <w:tcPr>
            <w:tcW w:w="20" w:type="dxa"/>
            <w:vAlign w:val="bottom"/>
          </w:tcPr>
          <w:p>
            <w:pPr>
              <w:spacing w:after="0"/>
              <w:rPr>
                <w:sz w:val="20"/>
                <w:szCs w:val="20"/>
                <w:color w:val="auto"/>
              </w:rPr>
            </w:pPr>
          </w:p>
        </w:tc>
        <w:tc>
          <w:tcPr>
            <w:tcW w:w="47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1,231.2</w:t>
            </w:r>
          </w:p>
        </w:tc>
      </w:tr>
      <w:tr>
        <w:trPr>
          <w:trHeight w:val="239"/>
        </w:trPr>
        <w:tc>
          <w:tcPr>
            <w:tcW w:w="20" w:type="dxa"/>
            <w:vAlign w:val="bottom"/>
            <w:shd w:val="clear" w:color="auto" w:fill="CCEEFF"/>
          </w:tcPr>
          <w:p>
            <w:pPr>
              <w:spacing w:after="0"/>
              <w:rPr>
                <w:sz w:val="20"/>
                <w:szCs w:val="20"/>
                <w:color w:val="auto"/>
              </w:rPr>
            </w:pPr>
          </w:p>
        </w:tc>
        <w:tc>
          <w:tcPr>
            <w:tcW w:w="47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332.7</w:t>
            </w:r>
          </w:p>
        </w:tc>
      </w:tr>
      <w:tr>
        <w:trPr>
          <w:trHeight w:val="239"/>
        </w:trPr>
        <w:tc>
          <w:tcPr>
            <w:tcW w:w="20" w:type="dxa"/>
            <w:vAlign w:val="bottom"/>
            <w:tcBorders>
              <w:bottom w:val="single" w:sz="8" w:color="CCEEFF"/>
            </w:tcBorders>
          </w:tcPr>
          <w:p>
            <w:pPr>
              <w:spacing w:after="0"/>
              <w:rPr>
                <w:sz w:val="20"/>
                <w:szCs w:val="20"/>
                <w:color w:val="auto"/>
              </w:rPr>
            </w:pPr>
          </w:p>
        </w:tc>
        <w:tc>
          <w:tcPr>
            <w:tcW w:w="4760" w:type="dxa"/>
            <w:vAlign w:val="bottom"/>
            <w:tcBorders>
              <w:bottom w:val="single" w:sz="8" w:color="CCEEFF"/>
            </w:tcBorders>
            <w:gridSpan w:val="3"/>
          </w:tcPr>
          <w:p>
            <w:pPr>
              <w:ind w:left="200"/>
              <w:spacing w:after="0"/>
              <w:rPr>
                <w:sz w:val="20"/>
                <w:szCs w:val="20"/>
                <w:color w:val="auto"/>
              </w:rPr>
            </w:pPr>
            <w:r>
              <w:rPr>
                <w:rFonts w:ascii="Times New Roman" w:cs="Times New Roman" w:eastAsia="Times New Roman" w:hAnsi="Times New Roman"/>
                <w:sz w:val="18"/>
                <w:szCs w:val="18"/>
                <w:color w:val="auto"/>
              </w:rPr>
              <w:t>Impairment losses</w:t>
            </w:r>
          </w:p>
        </w:tc>
        <w:tc>
          <w:tcPr>
            <w:tcW w:w="16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825.0</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840.0</w:t>
            </w:r>
          </w:p>
        </w:tc>
      </w:tr>
      <w:tr>
        <w:trPr>
          <w:trHeight w:val="232"/>
        </w:trPr>
        <w:tc>
          <w:tcPr>
            <w:tcW w:w="20" w:type="dxa"/>
            <w:vAlign w:val="bottom"/>
            <w:shd w:val="clear" w:color="auto" w:fill="CCEEFF"/>
          </w:tcPr>
          <w:p>
            <w:pPr>
              <w:spacing w:after="0"/>
              <w:rPr>
                <w:sz w:val="20"/>
                <w:szCs w:val="20"/>
                <w:color w:val="auto"/>
              </w:rPr>
            </w:pPr>
          </w:p>
        </w:tc>
        <w:tc>
          <w:tcPr>
            <w:tcW w:w="476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1,712.7</w:t>
            </w:r>
          </w:p>
        </w:tc>
        <w:tc>
          <w:tcPr>
            <w:tcW w:w="8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2,493.7</w:t>
            </w: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5,120.5</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5,810.9</w:t>
            </w:r>
          </w:p>
        </w:tc>
      </w:tr>
      <w:tr>
        <w:trPr>
          <w:trHeight w:val="232"/>
        </w:trPr>
        <w:tc>
          <w:tcPr>
            <w:tcW w:w="47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(656.1)</w:t>
            </w:r>
          </w:p>
        </w:tc>
      </w:tr>
      <w:tr>
        <w:trPr>
          <w:trHeight w:val="239"/>
        </w:trPr>
        <w:tc>
          <w:tcPr>
            <w:tcW w:w="47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(expenses)</w:t>
            </w:r>
          </w:p>
        </w:tc>
        <w:tc>
          <w:tcPr>
            <w:tcW w:w="1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39"/>
        </w:trPr>
        <w:tc>
          <w:tcPr>
            <w:tcW w:w="20" w:type="dxa"/>
            <w:vAlign w:val="bottom"/>
          </w:tcPr>
          <w:p>
            <w:pPr>
              <w:spacing w:after="0"/>
              <w:rPr>
                <w:sz w:val="20"/>
                <w:szCs w:val="20"/>
                <w:color w:val="auto"/>
              </w:rPr>
            </w:pPr>
          </w:p>
        </w:tc>
        <w:tc>
          <w:tcPr>
            <w:tcW w:w="47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(303.9)</w:t>
            </w:r>
          </w:p>
        </w:tc>
      </w:tr>
      <w:tr>
        <w:trPr>
          <w:trHeight w:val="239"/>
        </w:trPr>
        <w:tc>
          <w:tcPr>
            <w:tcW w:w="20" w:type="dxa"/>
            <w:vAlign w:val="bottom"/>
            <w:shd w:val="clear" w:color="auto" w:fill="CCEEFF"/>
          </w:tcPr>
          <w:p>
            <w:pPr>
              <w:spacing w:after="0"/>
              <w:rPr>
                <w:sz w:val="20"/>
                <w:szCs w:val="20"/>
                <w:color w:val="auto"/>
              </w:rPr>
            </w:pPr>
          </w:p>
        </w:tc>
        <w:tc>
          <w:tcPr>
            <w:tcW w:w="47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39"/>
        </w:trPr>
        <w:tc>
          <w:tcPr>
            <w:tcW w:w="20" w:type="dxa"/>
            <w:vAlign w:val="bottom"/>
          </w:tcPr>
          <w:p>
            <w:pPr>
              <w:spacing w:after="0"/>
              <w:rPr>
                <w:sz w:val="20"/>
                <w:szCs w:val="20"/>
                <w:color w:val="auto"/>
              </w:rPr>
            </w:pPr>
          </w:p>
        </w:tc>
        <w:tc>
          <w:tcPr>
            <w:tcW w:w="47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Income from unconsolidated affiliates</w:t>
            </w: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r>
      <w:tr>
        <w:trPr>
          <w:trHeight w:val="239"/>
        </w:trPr>
        <w:tc>
          <w:tcPr>
            <w:tcW w:w="20" w:type="dxa"/>
            <w:vAlign w:val="bottom"/>
            <w:shd w:val="clear" w:color="auto" w:fill="CCEEFF"/>
          </w:tcPr>
          <w:p>
            <w:pPr>
              <w:spacing w:after="0"/>
              <w:rPr>
                <w:sz w:val="20"/>
                <w:szCs w:val="20"/>
                <w:color w:val="auto"/>
              </w:rPr>
            </w:pPr>
          </w:p>
        </w:tc>
        <w:tc>
          <w:tcPr>
            <w:tcW w:w="47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Gain on financing arrangement</w:t>
            </w:r>
          </w:p>
        </w:tc>
        <w:tc>
          <w:tcPr>
            <w:tcW w:w="1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w:t>
            </w:r>
          </w:p>
        </w:tc>
      </w:tr>
      <w:tr>
        <w:trPr>
          <w:trHeight w:val="239"/>
        </w:trPr>
        <w:tc>
          <w:tcPr>
            <w:tcW w:w="20" w:type="dxa"/>
            <w:vAlign w:val="bottom"/>
          </w:tcPr>
          <w:p>
            <w:pPr>
              <w:spacing w:after="0"/>
              <w:rPr>
                <w:sz w:val="20"/>
                <w:szCs w:val="20"/>
                <w:color w:val="auto"/>
              </w:rPr>
            </w:pPr>
          </w:p>
        </w:tc>
        <w:tc>
          <w:tcPr>
            <w:tcW w:w="47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39"/>
        </w:trPr>
        <w:tc>
          <w:tcPr>
            <w:tcW w:w="20" w:type="dxa"/>
            <w:vAlign w:val="bottom"/>
            <w:shd w:val="clear" w:color="auto" w:fill="CCEEFF"/>
          </w:tcPr>
          <w:p>
            <w:pPr>
              <w:spacing w:after="0"/>
              <w:rPr>
                <w:sz w:val="20"/>
                <w:szCs w:val="20"/>
                <w:color w:val="auto"/>
              </w:rPr>
            </w:pPr>
          </w:p>
        </w:tc>
        <w:tc>
          <w:tcPr>
            <w:tcW w:w="47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6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32"/>
        </w:trPr>
        <w:tc>
          <w:tcPr>
            <w:tcW w:w="20" w:type="dxa"/>
            <w:vAlign w:val="bottom"/>
            <w:tcBorders>
              <w:bottom w:val="single" w:sz="8" w:color="CCEEFF"/>
            </w:tcBorders>
          </w:tcPr>
          <w:p>
            <w:pPr>
              <w:spacing w:after="0"/>
              <w:rPr>
                <w:sz w:val="20"/>
                <w:szCs w:val="20"/>
                <w:color w:val="auto"/>
              </w:rPr>
            </w:pPr>
          </w:p>
        </w:tc>
        <w:tc>
          <w:tcPr>
            <w:tcW w:w="4760" w:type="dxa"/>
            <w:vAlign w:val="bottom"/>
            <w:tcBorders>
              <w:bottom w:val="single" w:sz="8" w:color="CCEEFF"/>
            </w:tcBorders>
            <w:gridSpan w:val="3"/>
          </w:tcPr>
          <w:p>
            <w:pPr>
              <w:ind w:left="440"/>
              <w:spacing w:after="0"/>
              <w:rPr>
                <w:sz w:val="20"/>
                <w:szCs w:val="20"/>
                <w:color w:val="auto"/>
              </w:rPr>
            </w:pPr>
            <w:r>
              <w:rPr>
                <w:rFonts w:ascii="Times New Roman" w:cs="Times New Roman" w:eastAsia="Times New Roman" w:hAnsi="Times New Roman"/>
                <w:sz w:val="18"/>
                <w:szCs w:val="18"/>
                <w:color w:val="auto"/>
              </w:rPr>
              <w:t>Total other expenses</w:t>
            </w:r>
          </w:p>
        </w:tc>
        <w:tc>
          <w:tcPr>
            <w:tcW w:w="16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w:t>
            </w:r>
          </w:p>
        </w:tc>
      </w:tr>
      <w:tr>
        <w:trPr>
          <w:trHeight w:val="232"/>
        </w:trPr>
        <w:tc>
          <w:tcPr>
            <w:tcW w:w="47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1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(859.8)</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(712.5)</w:t>
            </w:r>
          </w:p>
        </w:tc>
      </w:tr>
      <w:tr>
        <w:trPr>
          <w:trHeight w:val="239"/>
        </w:trPr>
        <w:tc>
          <w:tcPr>
            <w:tcW w:w="478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6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w:t>
            </w:r>
          </w:p>
        </w:tc>
      </w:tr>
      <w:tr>
        <w:trPr>
          <w:trHeight w:val="232"/>
        </w:trPr>
        <w:tc>
          <w:tcPr>
            <w:tcW w:w="47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(771.9)</w:t>
            </w:r>
          </w:p>
        </w:tc>
      </w:tr>
      <w:tr>
        <w:trPr>
          <w:trHeight w:val="239"/>
        </w:trPr>
        <w:tc>
          <w:tcPr>
            <w:tcW w:w="478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16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52"/>
        </w:trPr>
        <w:tc>
          <w:tcPr>
            <w:tcW w:w="47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PENN Entertainment, Inc.</w:t>
            </w:r>
          </w:p>
        </w:tc>
        <w:tc>
          <w:tcPr>
            <w:tcW w:w="1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gridSpan w:val="2"/>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9"/>
        </w:trPr>
        <w:tc>
          <w:tcPr>
            <w:tcW w:w="47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(loss) per share:</w:t>
            </w:r>
          </w:p>
        </w:tc>
        <w:tc>
          <w:tcPr>
            <w:tcW w:w="1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39"/>
        </w:trPr>
        <w:tc>
          <w:tcPr>
            <w:tcW w:w="20" w:type="dxa"/>
            <w:vAlign w:val="bottom"/>
          </w:tcPr>
          <w:p>
            <w:pPr>
              <w:spacing w:after="0"/>
              <w:rPr>
                <w:sz w:val="20"/>
                <w:szCs w:val="20"/>
                <w:color w:val="auto"/>
              </w:rPr>
            </w:pPr>
          </w:p>
        </w:tc>
        <w:tc>
          <w:tcPr>
            <w:tcW w:w="47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80" w:type="dxa"/>
            <w:vAlign w:val="bottom"/>
          </w:tcPr>
          <w:p>
            <w:pPr>
              <w:spacing w:after="0"/>
              <w:rPr>
                <w:sz w:val="20"/>
                <w:szCs w:val="20"/>
                <w:color w:val="auto"/>
              </w:rPr>
            </w:pP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100" w:type="dxa"/>
            <w:vAlign w:val="bottom"/>
          </w:tcPr>
          <w:p>
            <w:pPr>
              <w:spacing w:after="0"/>
              <w:rPr>
                <w:sz w:val="20"/>
                <w:szCs w:val="20"/>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r>
      <w:tr>
        <w:trPr>
          <w:trHeight w:val="239"/>
        </w:trPr>
        <w:tc>
          <w:tcPr>
            <w:tcW w:w="20" w:type="dxa"/>
            <w:vAlign w:val="bottom"/>
            <w:shd w:val="clear" w:color="auto" w:fill="CCEEFF"/>
          </w:tcPr>
          <w:p>
            <w:pPr>
              <w:spacing w:after="0"/>
              <w:rPr>
                <w:sz w:val="20"/>
                <w:szCs w:val="20"/>
                <w:color w:val="auto"/>
              </w:rPr>
            </w:pPr>
          </w:p>
        </w:tc>
        <w:tc>
          <w:tcPr>
            <w:tcW w:w="47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1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r>
      <w:tr>
        <w:trPr>
          <w:trHeight w:val="266"/>
        </w:trPr>
        <w:tc>
          <w:tcPr>
            <w:tcW w:w="20" w:type="dxa"/>
            <w:vAlign w:val="bottom"/>
          </w:tcPr>
          <w:p>
            <w:pPr>
              <w:spacing w:after="0"/>
              <w:rPr>
                <w:sz w:val="23"/>
                <w:szCs w:val="23"/>
                <w:color w:val="auto"/>
              </w:rPr>
            </w:pPr>
          </w:p>
        </w:tc>
        <w:tc>
          <w:tcPr>
            <w:tcW w:w="2040" w:type="dxa"/>
            <w:vAlign w:val="bottom"/>
            <w:gridSpan w:val="2"/>
          </w:tcPr>
          <w:p>
            <w:pPr>
              <w:spacing w:after="0"/>
              <w:rPr>
                <w:sz w:val="23"/>
                <w:szCs w:val="23"/>
                <w:color w:val="auto"/>
              </w:rPr>
            </w:pPr>
          </w:p>
        </w:tc>
        <w:tc>
          <w:tcPr>
            <w:tcW w:w="27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39"/>
        </w:trPr>
        <w:tc>
          <w:tcPr>
            <w:tcW w:w="47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outstanding—basic</w:t>
            </w:r>
          </w:p>
        </w:tc>
        <w:tc>
          <w:tcPr>
            <w:tcW w:w="1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w:t>
            </w:r>
          </w:p>
        </w:tc>
      </w:tr>
      <w:tr>
        <w:trPr>
          <w:trHeight w:val="240"/>
        </w:trPr>
        <w:tc>
          <w:tcPr>
            <w:tcW w:w="47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outstanding—diluted</w:t>
            </w: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w:t>
            </w:r>
          </w:p>
        </w:tc>
      </w:tr>
    </w:tbl>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179705</wp:posOffset>
            </wp:positionV>
            <wp:extent cx="716026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64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929"/>
        </w:trPr>
        <w:tc>
          <w:tcPr>
            <w:tcW w:w="2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6620" w:type="dxa"/>
            <w:vAlign w:val="bottom"/>
            <w:gridSpan w:val="5"/>
          </w:tcPr>
          <w:p>
            <w:pPr>
              <w:jc w:val="center"/>
              <w:ind w:left="2031"/>
              <w:spacing w:after="0"/>
              <w:rPr>
                <w:sz w:val="20"/>
                <w:szCs w:val="20"/>
                <w:color w:val="auto"/>
              </w:rPr>
            </w:pPr>
            <w:r>
              <w:rPr>
                <w:rFonts w:ascii="Times New Roman" w:cs="Times New Roman" w:eastAsia="Times New Roman" w:hAnsi="Times New Roman"/>
                <w:sz w:val="18"/>
                <w:szCs w:val="18"/>
                <w:b w:val="1"/>
                <w:bCs w:val="1"/>
                <w:color w:val="auto"/>
                <w:w w:val="97"/>
              </w:rPr>
              <w:t>PENN ENTERTAINMENT, INC. AND SUBSIDIARIES</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0" w:type="dxa"/>
            <w:vAlign w:val="bottom"/>
            <w:gridSpan w:val="7"/>
          </w:tcPr>
          <w:p>
            <w:pPr>
              <w:jc w:val="center"/>
              <w:ind w:left="1051"/>
              <w:spacing w:after="0"/>
              <w:rPr>
                <w:sz w:val="20"/>
                <w:szCs w:val="20"/>
                <w:color w:val="auto"/>
              </w:rPr>
            </w:pPr>
            <w:r>
              <w:rPr>
                <w:rFonts w:ascii="Times New Roman" w:cs="Times New Roman" w:eastAsia="Times New Roman" w:hAnsi="Times New Roman"/>
                <w:sz w:val="18"/>
                <w:szCs w:val="18"/>
                <w:b w:val="1"/>
                <w:bCs w:val="1"/>
                <w:color w:val="auto"/>
                <w:w w:val="97"/>
              </w:rPr>
              <w:t>CONSOLIDATED STATEMENTS OF COMPREHENSIVE INCOME (LOSS)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140" w:type="dxa"/>
            <w:vAlign w:val="bottom"/>
          </w:tcPr>
          <w:p>
            <w:pPr>
              <w:jc w:val="center"/>
              <w:ind w:left="3491"/>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9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4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For the three months ended</w:t>
            </w:r>
          </w:p>
        </w:tc>
        <w:tc>
          <w:tcPr>
            <w:tcW w:w="140" w:type="dxa"/>
            <w:vAlign w:val="bottom"/>
          </w:tcPr>
          <w:p>
            <w:pPr>
              <w:spacing w:after="0"/>
              <w:rPr>
                <w:sz w:val="24"/>
                <w:szCs w:val="24"/>
                <w:color w:val="auto"/>
              </w:rPr>
            </w:pPr>
          </w:p>
        </w:tc>
        <w:tc>
          <w:tcPr>
            <w:tcW w:w="2240" w:type="dxa"/>
            <w:vAlign w:val="bottom"/>
            <w:gridSpan w:val="4"/>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w w:val="99"/>
              </w:rPr>
              <w:t>For the nine months ended</w:t>
            </w:r>
          </w:p>
        </w:tc>
      </w:tr>
      <w:tr>
        <w:trPr>
          <w:trHeight w:val="236"/>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4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140" w:type="dxa"/>
            <w:vAlign w:val="bottom"/>
          </w:tcPr>
          <w:p>
            <w:pPr>
              <w:spacing w:after="0"/>
              <w:rPr>
                <w:sz w:val="20"/>
                <w:szCs w:val="20"/>
                <w:color w:val="auto"/>
              </w:rPr>
            </w:pPr>
          </w:p>
        </w:tc>
        <w:tc>
          <w:tcPr>
            <w:tcW w:w="2240" w:type="dxa"/>
            <w:vAlign w:val="bottom"/>
            <w:gridSpan w:val="4"/>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182"/>
        </w:trPr>
        <w:tc>
          <w:tcPr>
            <w:tcW w:w="64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311"/>
              <w:spacing w:after="0" w:line="166" w:lineRule="exact"/>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311"/>
              <w:spacing w:after="0" w:line="166" w:lineRule="exact"/>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291"/>
              <w:spacing w:after="0" w:line="166" w:lineRule="exact"/>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311"/>
              <w:spacing w:after="0" w:line="166" w:lineRule="exact"/>
              <w:rPr>
                <w:sz w:val="20"/>
                <w:szCs w:val="20"/>
                <w:color w:val="auto"/>
              </w:rPr>
            </w:pPr>
            <w:r>
              <w:rPr>
                <w:rFonts w:ascii="Times New Roman" w:cs="Times New Roman" w:eastAsia="Times New Roman" w:hAnsi="Times New Roman"/>
                <w:sz w:val="18"/>
                <w:szCs w:val="18"/>
                <w:b w:val="1"/>
                <w:bCs w:val="1"/>
                <w:color w:val="auto"/>
              </w:rPr>
              <w:t>2025</w:t>
            </w:r>
          </w:p>
        </w:tc>
      </w:tr>
      <w:tr>
        <w:trPr>
          <w:trHeight w:val="33"/>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5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2"/>
        </w:trPr>
        <w:tc>
          <w:tcPr>
            <w:tcW w:w="64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(771.9)</w:t>
            </w:r>
          </w:p>
        </w:tc>
      </w:tr>
      <w:tr>
        <w:trPr>
          <w:trHeight w:val="239"/>
        </w:trPr>
        <w:tc>
          <w:tcPr>
            <w:tcW w:w="64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39"/>
        </w:trPr>
        <w:tc>
          <w:tcPr>
            <w:tcW w:w="20" w:type="dxa"/>
            <w:vAlign w:val="bottom"/>
            <w:shd w:val="clear" w:color="auto" w:fill="CCEEFF"/>
          </w:tcPr>
          <w:p>
            <w:pPr>
              <w:spacing w:after="0"/>
              <w:rPr>
                <w:sz w:val="20"/>
                <w:szCs w:val="20"/>
                <w:color w:val="auto"/>
              </w:rPr>
            </w:pPr>
          </w:p>
        </w:tc>
        <w:tc>
          <w:tcPr>
            <w:tcW w:w="63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r>
      <w:tr>
        <w:trPr>
          <w:trHeight w:val="232"/>
        </w:trPr>
        <w:tc>
          <w:tcPr>
            <w:tcW w:w="640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w:t>
            </w:r>
          </w:p>
        </w:tc>
      </w:tr>
      <w:tr>
        <w:trPr>
          <w:trHeight w:val="232"/>
        </w:trPr>
        <w:tc>
          <w:tcPr>
            <w:tcW w:w="64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income (loss)</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(903.3)</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(718.1)</w:t>
            </w:r>
          </w:p>
        </w:tc>
      </w:tr>
      <w:tr>
        <w:trPr>
          <w:trHeight w:val="239"/>
        </w:trPr>
        <w:tc>
          <w:tcPr>
            <w:tcW w:w="640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Comprehensive loss attributable to non-controlling interest</w:t>
            </w: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57"/>
        </w:trPr>
        <w:tc>
          <w:tcPr>
            <w:tcW w:w="64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 attributable to PENN Entertainment, Inc.</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(902.8)</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5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179705</wp:posOffset>
            </wp:positionV>
            <wp:extent cx="716026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left="340" w:right="2380"/>
        <w:spacing w:after="0" w:line="269" w:lineRule="auto"/>
        <w:rPr>
          <w:sz w:val="20"/>
          <w:szCs w:val="20"/>
          <w:color w:val="auto"/>
        </w:rPr>
      </w:pPr>
      <w:r>
        <w:rPr>
          <w:rFonts w:ascii="Times New Roman" w:cs="Times New Roman" w:eastAsia="Times New Roman" w:hAnsi="Times New Roman"/>
          <w:sz w:val="18"/>
          <w:szCs w:val="18"/>
          <w:b w:val="1"/>
          <w:bCs w:val="1"/>
          <w:color w:val="auto"/>
        </w:rPr>
        <w:t>PENN ENTERTAINMENT, INC. AND SUBSIDIARIES CONSOLIDATED STATEMENTS OF CHANGES IN STOCKHOLDERS’ EQUITY (UNAUDITED)</w:t>
      </w:r>
    </w:p>
    <w:p>
      <w:pPr>
        <w:spacing w:after="0" w:line="200" w:lineRule="exact"/>
        <w:rPr>
          <w:sz w:val="20"/>
          <w:szCs w:val="20"/>
          <w:color w:val="auto"/>
        </w:rPr>
      </w:pP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gridSpan w:val="13"/>
          </w:tcPr>
          <w:p>
            <w:pPr>
              <w:ind w:left="40"/>
              <w:spacing w:after="0"/>
              <w:rPr>
                <w:sz w:val="20"/>
                <w:szCs w:val="20"/>
                <w:color w:val="auto"/>
              </w:rPr>
            </w:pPr>
            <w:r>
              <w:rPr>
                <w:rFonts w:ascii="Times New Roman" w:cs="Times New Roman" w:eastAsia="Times New Roman" w:hAnsi="Times New Roman"/>
                <w:sz w:val="12"/>
                <w:szCs w:val="12"/>
                <w:b w:val="1"/>
                <w:bCs w:val="1"/>
                <w:color w:val="auto"/>
              </w:rPr>
              <w:t>Three Months Ended September 30, 2026 and 2025</w:t>
            </w:r>
          </w:p>
        </w:tc>
        <w:tc>
          <w:tcPr>
            <w:tcW w:w="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52"/>
        </w:trPr>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5"/>
          </w:tcPr>
          <w:p>
            <w:pPr>
              <w:ind w:left="140"/>
              <w:spacing w:after="0"/>
              <w:rPr>
                <w:sz w:val="20"/>
                <w:szCs w:val="20"/>
                <w:color w:val="auto"/>
              </w:rPr>
            </w:pPr>
            <w:r>
              <w:rPr>
                <w:rFonts w:ascii="Times New Roman" w:cs="Times New Roman" w:eastAsia="Times New Roman" w:hAnsi="Times New Roman"/>
                <w:sz w:val="12"/>
                <w:szCs w:val="12"/>
                <w:b w:val="1"/>
                <w:bCs w:val="1"/>
                <w:color w:val="auto"/>
              </w:rPr>
              <w:t>Preferred Stock</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3"/>
          </w:tcPr>
          <w:p>
            <w:pPr>
              <w:jc w:val="right"/>
              <w:ind w:right="419"/>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Retained</w:t>
            </w:r>
          </w:p>
        </w:tc>
        <w:tc>
          <w:tcPr>
            <w:tcW w:w="60" w:type="dxa"/>
            <w:vAlign w:val="bottom"/>
          </w:tcPr>
          <w:p>
            <w:pPr>
              <w:spacing w:after="0"/>
              <w:rPr>
                <w:sz w:val="24"/>
                <w:szCs w:val="24"/>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08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b w:val="1"/>
                <w:bCs w:val="1"/>
                <w:i w:val="1"/>
                <w:iCs w:val="1"/>
                <w:color w:val="auto"/>
              </w:rPr>
              <w:t>(in millions, except</w:t>
            </w:r>
          </w:p>
        </w:tc>
        <w:tc>
          <w:tcPr>
            <w:tcW w:w="4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Borders>
              <w:top w:val="single" w:sz="8" w:color="auto"/>
            </w:tcBorders>
            <w:gridSpan w:val="2"/>
          </w:tcPr>
          <w:p>
            <w:pPr>
              <w:jc w:val="center"/>
              <w:ind w:right="100"/>
              <w:spacing w:after="0" w:line="133" w:lineRule="exact"/>
              <w:rPr>
                <w:sz w:val="20"/>
                <w:szCs w:val="20"/>
                <w:color w:val="auto"/>
              </w:rPr>
            </w:pPr>
            <w:r>
              <w:rPr>
                <w:rFonts w:ascii="Times New Roman" w:cs="Times New Roman" w:eastAsia="Times New Roman" w:hAnsi="Times New Roman"/>
                <w:sz w:val="12"/>
                <w:szCs w:val="12"/>
                <w:b w:val="1"/>
                <w:bCs w:val="1"/>
                <w:color w:val="auto"/>
              </w:rPr>
              <w:t>PENN</w:t>
            </w: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Exchangeable</w:t>
            </w:r>
          </w:p>
        </w:tc>
        <w:tc>
          <w:tcPr>
            <w:tcW w:w="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Treasury</w:t>
            </w:r>
          </w:p>
        </w:tc>
        <w:tc>
          <w:tcPr>
            <w:tcW w:w="740" w:type="dxa"/>
            <w:vAlign w:val="bottom"/>
            <w:gridSpan w:val="3"/>
          </w:tcPr>
          <w:p>
            <w:pPr>
              <w:jc w:val="center"/>
              <w:ind w:right="100"/>
              <w:spacing w:after="0" w:line="133"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100" w:type="dxa"/>
            <w:vAlign w:val="bottom"/>
          </w:tcPr>
          <w:p>
            <w:pPr>
              <w:spacing w:after="0"/>
              <w:rPr>
                <w:sz w:val="11"/>
                <w:szCs w:val="11"/>
                <w:color w:val="auto"/>
              </w:rPr>
            </w:pPr>
          </w:p>
        </w:tc>
        <w:tc>
          <w:tcPr>
            <w:tcW w:w="780" w:type="dxa"/>
            <w:vAlign w:val="bottom"/>
            <w:gridSpan w:val="2"/>
          </w:tcPr>
          <w:p>
            <w:pPr>
              <w:jc w:val="center"/>
              <w:ind w:right="220"/>
              <w:spacing w:after="0" w:line="133" w:lineRule="exact"/>
              <w:rPr>
                <w:sz w:val="20"/>
                <w:szCs w:val="20"/>
                <w:color w:val="auto"/>
              </w:rPr>
            </w:pPr>
            <w:r>
              <w:rPr>
                <w:rFonts w:ascii="Times New Roman" w:cs="Times New Roman" w:eastAsia="Times New Roman" w:hAnsi="Times New Roman"/>
                <w:sz w:val="12"/>
                <w:szCs w:val="12"/>
                <w:b w:val="1"/>
                <w:bCs w:val="1"/>
                <w:color w:val="auto"/>
              </w:rPr>
              <w:t>Earnings</w:t>
            </w:r>
          </w:p>
        </w:tc>
        <w:tc>
          <w:tcPr>
            <w:tcW w:w="60" w:type="dxa"/>
            <w:vAlign w:val="bottom"/>
          </w:tcPr>
          <w:p>
            <w:pPr>
              <w:spacing w:after="0"/>
              <w:rPr>
                <w:sz w:val="11"/>
                <w:szCs w:val="11"/>
                <w:color w:val="auto"/>
              </w:rPr>
            </w:pPr>
          </w:p>
        </w:tc>
        <w:tc>
          <w:tcPr>
            <w:tcW w:w="900" w:type="dxa"/>
            <w:vAlign w:val="bottom"/>
            <w:gridSpan w:val="2"/>
          </w:tcPr>
          <w:p>
            <w:pPr>
              <w:jc w:val="center"/>
              <w:ind w:right="180"/>
              <w:spacing w:after="0" w:line="133" w:lineRule="exact"/>
              <w:rPr>
                <w:sz w:val="20"/>
                <w:szCs w:val="20"/>
                <w:color w:val="auto"/>
              </w:rPr>
            </w:pPr>
            <w:r>
              <w:rPr>
                <w:rFonts w:ascii="Times New Roman" w:cs="Times New Roman" w:eastAsia="Times New Roman" w:hAnsi="Times New Roman"/>
                <w:sz w:val="12"/>
                <w:szCs w:val="12"/>
                <w:b w:val="1"/>
                <w:bCs w:val="1"/>
                <w:color w:val="auto"/>
              </w:rPr>
              <w:t>Other</w:t>
            </w:r>
          </w:p>
        </w:tc>
        <w:tc>
          <w:tcPr>
            <w:tcW w:w="860" w:type="dxa"/>
            <w:vAlign w:val="bottom"/>
            <w:gridSpan w:val="3"/>
          </w:tcPr>
          <w:p>
            <w:pPr>
              <w:jc w:val="center"/>
              <w:ind w:right="120"/>
              <w:spacing w:after="0" w:line="133" w:lineRule="exact"/>
              <w:rPr>
                <w:sz w:val="20"/>
                <w:szCs w:val="20"/>
                <w:color w:val="auto"/>
              </w:rPr>
            </w:pPr>
            <w:r>
              <w:rPr>
                <w:rFonts w:ascii="Times New Roman" w:cs="Times New Roman" w:eastAsia="Times New Roman" w:hAnsi="Times New Roman"/>
                <w:sz w:val="12"/>
                <w:szCs w:val="12"/>
                <w:b w:val="1"/>
                <w:bCs w:val="1"/>
                <w:color w:val="auto"/>
                <w:w w:val="98"/>
              </w:rPr>
              <w:t>Total PENN</w:t>
            </w:r>
          </w:p>
        </w:tc>
        <w:tc>
          <w:tcPr>
            <w:tcW w:w="80" w:type="dxa"/>
            <w:vAlign w:val="bottom"/>
          </w:tcPr>
          <w:p>
            <w:pPr>
              <w:spacing w:after="0"/>
              <w:rPr>
                <w:sz w:val="11"/>
                <w:szCs w:val="11"/>
                <w:color w:val="auto"/>
              </w:rPr>
            </w:pPr>
          </w:p>
        </w:tc>
        <w:tc>
          <w:tcPr>
            <w:tcW w:w="660" w:type="dxa"/>
            <w:vAlign w:val="bottom"/>
            <w:gridSpan w:val="2"/>
          </w:tcPr>
          <w:p>
            <w:pPr>
              <w:ind w:left="100"/>
              <w:spacing w:after="0" w:line="133" w:lineRule="exact"/>
              <w:rPr>
                <w:sz w:val="20"/>
                <w:szCs w:val="20"/>
                <w:color w:val="auto"/>
              </w:rPr>
            </w:pPr>
            <w:r>
              <w:rPr>
                <w:rFonts w:ascii="Times New Roman" w:cs="Times New Roman" w:eastAsia="Times New Roman" w:hAnsi="Times New Roman"/>
                <w:sz w:val="12"/>
                <w:szCs w:val="12"/>
                <w:b w:val="1"/>
                <w:bCs w:val="1"/>
                <w:color w:val="auto"/>
              </w:rPr>
              <w:t>Non-</w:t>
            </w:r>
          </w:p>
        </w:tc>
        <w:tc>
          <w:tcPr>
            <w:tcW w:w="140" w:type="dxa"/>
            <w:vAlign w:val="bottom"/>
          </w:tcPr>
          <w:p>
            <w:pPr>
              <w:spacing w:after="0"/>
              <w:rPr>
                <w:sz w:val="11"/>
                <w:szCs w:val="11"/>
                <w:color w:val="auto"/>
              </w:rPr>
            </w:pPr>
          </w:p>
        </w:tc>
        <w:tc>
          <w:tcPr>
            <w:tcW w:w="620" w:type="dxa"/>
            <w:vAlign w:val="bottom"/>
          </w:tcPr>
          <w:p>
            <w:pPr>
              <w:jc w:val="right"/>
              <w:ind w:right="179"/>
              <w:spacing w:after="0" w:line="133" w:lineRule="exact"/>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26"/>
        </w:trPr>
        <w:tc>
          <w:tcPr>
            <w:tcW w:w="1080" w:type="dxa"/>
            <w:vAlign w:val="bottom"/>
            <w:gridSpan w:val="3"/>
            <w:vMerge w:val="continue"/>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center"/>
              <w:ind w:right="100"/>
              <w:spacing w:after="0" w:line="120" w:lineRule="exact"/>
              <w:rPr>
                <w:sz w:val="20"/>
                <w:szCs w:val="20"/>
                <w:color w:val="auto"/>
              </w:rPr>
            </w:pPr>
            <w:r>
              <w:rPr>
                <w:rFonts w:ascii="Times New Roman" w:cs="Times New Roman" w:eastAsia="Times New Roman" w:hAnsi="Times New Roman"/>
                <w:sz w:val="12"/>
                <w:szCs w:val="12"/>
                <w:b w:val="1"/>
                <w:bCs w:val="1"/>
                <w:color w:val="auto"/>
              </w:rPr>
              <w:t>Entertainment,</w:t>
            </w: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center"/>
              <w:ind w:right="200"/>
              <w:spacing w:after="0" w:line="120" w:lineRule="exact"/>
              <w:rPr>
                <w:sz w:val="20"/>
                <w:szCs w:val="20"/>
                <w:color w:val="auto"/>
              </w:rPr>
            </w:pPr>
            <w:r>
              <w:rPr>
                <w:rFonts w:ascii="Times New Roman" w:cs="Times New Roman" w:eastAsia="Times New Roman" w:hAnsi="Times New Roman"/>
                <w:sz w:val="12"/>
                <w:szCs w:val="12"/>
                <w:b w:val="1"/>
                <w:bCs w:val="1"/>
                <w:color w:val="auto"/>
              </w:rPr>
              <w:t>Paid-In</w:t>
            </w:r>
          </w:p>
        </w:tc>
        <w:tc>
          <w:tcPr>
            <w:tcW w:w="880" w:type="dxa"/>
            <w:vAlign w:val="bottom"/>
            <w:gridSpan w:val="3"/>
          </w:tcPr>
          <w:p>
            <w:pPr>
              <w:ind w:left="20"/>
              <w:spacing w:after="0" w:line="120"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960" w:type="dxa"/>
            <w:vAlign w:val="bottom"/>
            <w:gridSpan w:val="3"/>
          </w:tcPr>
          <w:p>
            <w:pPr>
              <w:spacing w:after="0" w:line="120"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860" w:type="dxa"/>
            <w:vAlign w:val="bottom"/>
            <w:gridSpan w:val="3"/>
          </w:tcPr>
          <w:p>
            <w:pPr>
              <w:spacing w:after="0" w:line="120"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740" w:type="dxa"/>
            <w:vAlign w:val="bottom"/>
            <w:gridSpan w:val="3"/>
          </w:tcPr>
          <w:p>
            <w:pPr>
              <w:spacing w:after="0" w:line="120" w:lineRule="exact"/>
              <w:rPr>
                <w:sz w:val="20"/>
                <w:szCs w:val="20"/>
                <w:color w:val="auto"/>
              </w:rPr>
            </w:pPr>
            <w:r>
              <w:rPr>
                <w:rFonts w:ascii="Times New Roman" w:cs="Times New Roman" w:eastAsia="Times New Roman" w:hAnsi="Times New Roman"/>
                <w:sz w:val="12"/>
                <w:szCs w:val="12"/>
                <w:b w:val="1"/>
                <w:bCs w:val="1"/>
                <w:color w:val="auto"/>
              </w:rPr>
              <w:t>Controlling</w:t>
            </w:r>
          </w:p>
        </w:tc>
        <w:tc>
          <w:tcPr>
            <w:tcW w:w="760" w:type="dxa"/>
            <w:vAlign w:val="bottom"/>
            <w:gridSpan w:val="2"/>
          </w:tcPr>
          <w:p>
            <w:pPr>
              <w:ind w:left="20"/>
              <w:spacing w:after="0" w:line="120"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106"/>
        </w:trPr>
        <w:tc>
          <w:tcPr>
            <w:tcW w:w="980" w:type="dxa"/>
            <w:vAlign w:val="bottom"/>
            <w:tcBorders>
              <w:top w:val="single" w:sz="8" w:color="auto"/>
            </w:tcBorders>
            <w:gridSpan w:val="2"/>
          </w:tcPr>
          <w:p>
            <w:pPr>
              <w:spacing w:after="0" w:line="87" w:lineRule="exact"/>
              <w:rPr>
                <w:sz w:val="20"/>
                <w:szCs w:val="20"/>
                <w:color w:val="auto"/>
              </w:rPr>
            </w:pPr>
            <w:r>
              <w:rPr>
                <w:rFonts w:ascii="Times New Roman" w:cs="Times New Roman" w:eastAsia="Times New Roman" w:hAnsi="Times New Roman"/>
                <w:sz w:val="10"/>
                <w:szCs w:val="10"/>
                <w:b w:val="1"/>
                <w:bCs w:val="1"/>
                <w:i w:val="1"/>
                <w:iCs w:val="1"/>
                <w:color w:val="auto"/>
              </w:rPr>
              <w:t>share data)</w:t>
            </w:r>
          </w:p>
        </w:tc>
        <w:tc>
          <w:tcPr>
            <w:tcW w:w="100" w:type="dxa"/>
            <w:vAlign w:val="bottom"/>
          </w:tcPr>
          <w:p>
            <w:pPr>
              <w:spacing w:after="0"/>
              <w:rPr>
                <w:sz w:val="9"/>
                <w:szCs w:val="9"/>
                <w:color w:val="auto"/>
              </w:rPr>
            </w:pPr>
          </w:p>
        </w:tc>
        <w:tc>
          <w:tcPr>
            <w:tcW w:w="580" w:type="dxa"/>
            <w:vAlign w:val="bottom"/>
            <w:gridSpan w:val="2"/>
          </w:tcPr>
          <w:p>
            <w:pPr>
              <w:jc w:val="right"/>
              <w:ind w:right="160"/>
              <w:spacing w:after="0" w:line="87" w:lineRule="exact"/>
              <w:rPr>
                <w:sz w:val="20"/>
                <w:szCs w:val="20"/>
                <w:color w:val="auto"/>
              </w:rPr>
            </w:pPr>
            <w:r>
              <w:rPr>
                <w:rFonts w:ascii="Times New Roman" w:cs="Times New Roman" w:eastAsia="Times New Roman" w:hAnsi="Times New Roman"/>
                <w:sz w:val="10"/>
                <w:szCs w:val="10"/>
                <w:b w:val="1"/>
                <w:bCs w:val="1"/>
                <w:color w:val="auto"/>
              </w:rPr>
              <w:t>Shares</w:t>
            </w:r>
          </w:p>
        </w:tc>
        <w:tc>
          <w:tcPr>
            <w:tcW w:w="660" w:type="dxa"/>
            <w:vAlign w:val="bottom"/>
            <w:gridSpan w:val="3"/>
          </w:tcPr>
          <w:p>
            <w:pPr>
              <w:ind w:left="60"/>
              <w:spacing w:after="0" w:line="87" w:lineRule="exact"/>
              <w:rPr>
                <w:sz w:val="20"/>
                <w:szCs w:val="20"/>
                <w:color w:val="auto"/>
              </w:rPr>
            </w:pPr>
            <w:r>
              <w:rPr>
                <w:rFonts w:ascii="Times New Roman" w:cs="Times New Roman" w:eastAsia="Times New Roman" w:hAnsi="Times New Roman"/>
                <w:sz w:val="10"/>
                <w:szCs w:val="10"/>
                <w:b w:val="1"/>
                <w:bCs w:val="1"/>
                <w:color w:val="auto"/>
              </w:rPr>
              <w:t>Amount</w:t>
            </w:r>
          </w:p>
        </w:tc>
        <w:tc>
          <w:tcPr>
            <w:tcW w:w="960" w:type="dxa"/>
            <w:vAlign w:val="bottom"/>
            <w:gridSpan w:val="2"/>
          </w:tcPr>
          <w:p>
            <w:pPr>
              <w:jc w:val="center"/>
              <w:ind w:right="100"/>
              <w:spacing w:after="0" w:line="87" w:lineRule="exact"/>
              <w:rPr>
                <w:sz w:val="20"/>
                <w:szCs w:val="20"/>
                <w:color w:val="auto"/>
              </w:rPr>
            </w:pPr>
            <w:r>
              <w:rPr>
                <w:rFonts w:ascii="Times New Roman" w:cs="Times New Roman" w:eastAsia="Times New Roman" w:hAnsi="Times New Roman"/>
                <w:sz w:val="10"/>
                <w:szCs w:val="10"/>
                <w:b w:val="1"/>
                <w:bCs w:val="1"/>
                <w:color w:val="auto"/>
              </w:rPr>
              <w:t>Inc. Shares</w:t>
            </w:r>
          </w:p>
        </w:tc>
        <w:tc>
          <w:tcPr>
            <w:tcW w:w="680" w:type="dxa"/>
            <w:vAlign w:val="bottom"/>
            <w:gridSpan w:val="3"/>
          </w:tcPr>
          <w:p>
            <w:pPr>
              <w:ind w:left="60"/>
              <w:spacing w:after="0" w:line="87" w:lineRule="exact"/>
              <w:rPr>
                <w:sz w:val="20"/>
                <w:szCs w:val="20"/>
                <w:color w:val="auto"/>
              </w:rPr>
            </w:pPr>
            <w:r>
              <w:rPr>
                <w:rFonts w:ascii="Times New Roman" w:cs="Times New Roman" w:eastAsia="Times New Roman" w:hAnsi="Times New Roman"/>
                <w:sz w:val="10"/>
                <w:szCs w:val="10"/>
                <w:b w:val="1"/>
                <w:bCs w:val="1"/>
                <w:color w:val="auto"/>
              </w:rPr>
              <w:t>Amount</w:t>
            </w:r>
          </w:p>
        </w:tc>
        <w:tc>
          <w:tcPr>
            <w:tcW w:w="780" w:type="dxa"/>
            <w:vAlign w:val="bottom"/>
          </w:tcPr>
          <w:p>
            <w:pPr>
              <w:jc w:val="right"/>
              <w:ind w:right="159"/>
              <w:spacing w:after="0" w:line="87" w:lineRule="exact"/>
              <w:rPr>
                <w:sz w:val="20"/>
                <w:szCs w:val="20"/>
                <w:color w:val="auto"/>
              </w:rPr>
            </w:pPr>
            <w:r>
              <w:rPr>
                <w:rFonts w:ascii="Times New Roman" w:cs="Times New Roman" w:eastAsia="Times New Roman" w:hAnsi="Times New Roman"/>
                <w:sz w:val="10"/>
                <w:szCs w:val="10"/>
                <w:b w:val="1"/>
                <w:bCs w:val="1"/>
                <w:color w:val="auto"/>
              </w:rPr>
              <w:t>Shares</w:t>
            </w:r>
          </w:p>
        </w:tc>
        <w:tc>
          <w:tcPr>
            <w:tcW w:w="80" w:type="dxa"/>
            <w:vAlign w:val="bottom"/>
          </w:tcPr>
          <w:p>
            <w:pPr>
              <w:spacing w:after="0"/>
              <w:rPr>
                <w:sz w:val="9"/>
                <w:szCs w:val="9"/>
                <w:color w:val="auto"/>
              </w:rPr>
            </w:pPr>
          </w:p>
        </w:tc>
        <w:tc>
          <w:tcPr>
            <w:tcW w:w="680" w:type="dxa"/>
            <w:vAlign w:val="bottom"/>
            <w:gridSpan w:val="3"/>
          </w:tcPr>
          <w:p>
            <w:pPr>
              <w:ind w:left="60"/>
              <w:spacing w:after="0" w:line="87" w:lineRule="exact"/>
              <w:rPr>
                <w:sz w:val="20"/>
                <w:szCs w:val="20"/>
                <w:color w:val="auto"/>
              </w:rPr>
            </w:pPr>
            <w:r>
              <w:rPr>
                <w:rFonts w:ascii="Times New Roman" w:cs="Times New Roman" w:eastAsia="Times New Roman" w:hAnsi="Times New Roman"/>
                <w:sz w:val="10"/>
                <w:szCs w:val="10"/>
                <w:b w:val="1"/>
                <w:bCs w:val="1"/>
                <w:color w:val="auto"/>
              </w:rPr>
              <w:t>Amount</w:t>
            </w:r>
          </w:p>
        </w:tc>
        <w:tc>
          <w:tcPr>
            <w:tcW w:w="60" w:type="dxa"/>
            <w:vAlign w:val="bottom"/>
          </w:tcPr>
          <w:p>
            <w:pPr>
              <w:spacing w:after="0"/>
              <w:rPr>
                <w:sz w:val="9"/>
                <w:szCs w:val="9"/>
                <w:color w:val="auto"/>
              </w:rPr>
            </w:pPr>
          </w:p>
        </w:tc>
        <w:tc>
          <w:tcPr>
            <w:tcW w:w="680" w:type="dxa"/>
            <w:vAlign w:val="bottom"/>
            <w:gridSpan w:val="2"/>
          </w:tcPr>
          <w:p>
            <w:pPr>
              <w:ind w:left="100"/>
              <w:spacing w:after="0" w:line="87" w:lineRule="exact"/>
              <w:rPr>
                <w:sz w:val="20"/>
                <w:szCs w:val="20"/>
                <w:color w:val="auto"/>
              </w:rPr>
            </w:pPr>
            <w:r>
              <w:rPr>
                <w:rFonts w:ascii="Times New Roman" w:cs="Times New Roman" w:eastAsia="Times New Roman" w:hAnsi="Times New Roman"/>
                <w:sz w:val="10"/>
                <w:szCs w:val="10"/>
                <w:b w:val="1"/>
                <w:bCs w:val="1"/>
                <w:color w:val="auto"/>
              </w:rPr>
              <w:t>Stock</w:t>
            </w:r>
          </w:p>
        </w:tc>
        <w:tc>
          <w:tcPr>
            <w:tcW w:w="100" w:type="dxa"/>
            <w:vAlign w:val="bottom"/>
          </w:tcPr>
          <w:p>
            <w:pPr>
              <w:spacing w:after="0"/>
              <w:rPr>
                <w:sz w:val="9"/>
                <w:szCs w:val="9"/>
                <w:color w:val="auto"/>
              </w:rPr>
            </w:pPr>
          </w:p>
        </w:tc>
        <w:tc>
          <w:tcPr>
            <w:tcW w:w="640" w:type="dxa"/>
            <w:vAlign w:val="bottom"/>
            <w:gridSpan w:val="2"/>
          </w:tcPr>
          <w:p>
            <w:pPr>
              <w:jc w:val="center"/>
              <w:ind w:right="220"/>
              <w:spacing w:after="0" w:line="87" w:lineRule="exact"/>
              <w:rPr>
                <w:sz w:val="20"/>
                <w:szCs w:val="20"/>
                <w:color w:val="auto"/>
              </w:rPr>
            </w:pPr>
            <w:r>
              <w:rPr>
                <w:rFonts w:ascii="Times New Roman" w:cs="Times New Roman" w:eastAsia="Times New Roman" w:hAnsi="Times New Roman"/>
                <w:sz w:val="10"/>
                <w:szCs w:val="10"/>
                <w:b w:val="1"/>
                <w:bCs w:val="1"/>
                <w:color w:val="auto"/>
              </w:rPr>
              <w:t>Capital</w:t>
            </w:r>
          </w:p>
        </w:tc>
        <w:tc>
          <w:tcPr>
            <w:tcW w:w="100" w:type="dxa"/>
            <w:vAlign w:val="bottom"/>
          </w:tcPr>
          <w:p>
            <w:pPr>
              <w:spacing w:after="0"/>
              <w:rPr>
                <w:sz w:val="9"/>
                <w:szCs w:val="9"/>
                <w:color w:val="auto"/>
              </w:rPr>
            </w:pPr>
          </w:p>
        </w:tc>
        <w:tc>
          <w:tcPr>
            <w:tcW w:w="780" w:type="dxa"/>
            <w:vAlign w:val="bottom"/>
            <w:gridSpan w:val="2"/>
          </w:tcPr>
          <w:p>
            <w:pPr>
              <w:jc w:val="center"/>
              <w:ind w:right="220"/>
              <w:spacing w:after="0" w:line="87" w:lineRule="exact"/>
              <w:rPr>
                <w:sz w:val="20"/>
                <w:szCs w:val="20"/>
                <w:color w:val="auto"/>
              </w:rPr>
            </w:pPr>
            <w:r>
              <w:rPr>
                <w:rFonts w:ascii="Times New Roman" w:cs="Times New Roman" w:eastAsia="Times New Roman" w:hAnsi="Times New Roman"/>
                <w:sz w:val="10"/>
                <w:szCs w:val="10"/>
                <w:b w:val="1"/>
                <w:bCs w:val="1"/>
                <w:color w:val="auto"/>
              </w:rPr>
              <w:t>Deficit)</w:t>
            </w:r>
          </w:p>
        </w:tc>
        <w:tc>
          <w:tcPr>
            <w:tcW w:w="60" w:type="dxa"/>
            <w:vAlign w:val="bottom"/>
          </w:tcPr>
          <w:p>
            <w:pPr>
              <w:spacing w:after="0"/>
              <w:rPr>
                <w:sz w:val="9"/>
                <w:szCs w:val="9"/>
                <w:color w:val="auto"/>
              </w:rPr>
            </w:pPr>
          </w:p>
        </w:tc>
        <w:tc>
          <w:tcPr>
            <w:tcW w:w="900" w:type="dxa"/>
            <w:vAlign w:val="bottom"/>
            <w:gridSpan w:val="2"/>
          </w:tcPr>
          <w:p>
            <w:pPr>
              <w:jc w:val="center"/>
              <w:ind w:right="180"/>
              <w:spacing w:after="0" w:line="87" w:lineRule="exact"/>
              <w:rPr>
                <w:sz w:val="20"/>
                <w:szCs w:val="20"/>
                <w:color w:val="auto"/>
              </w:rPr>
            </w:pPr>
            <w:r>
              <w:rPr>
                <w:rFonts w:ascii="Times New Roman" w:cs="Times New Roman" w:eastAsia="Times New Roman" w:hAnsi="Times New Roman"/>
                <w:sz w:val="10"/>
                <w:szCs w:val="10"/>
                <w:b w:val="1"/>
                <w:bCs w:val="1"/>
                <w:color w:val="auto"/>
              </w:rPr>
              <w:t>Loss</w:t>
            </w:r>
          </w:p>
        </w:tc>
        <w:tc>
          <w:tcPr>
            <w:tcW w:w="120" w:type="dxa"/>
            <w:vAlign w:val="bottom"/>
          </w:tcPr>
          <w:p>
            <w:pPr>
              <w:spacing w:after="0"/>
              <w:rPr>
                <w:sz w:val="9"/>
                <w:szCs w:val="9"/>
                <w:color w:val="auto"/>
              </w:rPr>
            </w:pPr>
          </w:p>
        </w:tc>
        <w:tc>
          <w:tcPr>
            <w:tcW w:w="740" w:type="dxa"/>
            <w:vAlign w:val="bottom"/>
            <w:gridSpan w:val="2"/>
          </w:tcPr>
          <w:p>
            <w:pPr>
              <w:jc w:val="center"/>
              <w:ind w:right="240"/>
              <w:spacing w:after="0" w:line="87" w:lineRule="exact"/>
              <w:rPr>
                <w:sz w:val="20"/>
                <w:szCs w:val="20"/>
                <w:color w:val="auto"/>
              </w:rPr>
            </w:pPr>
            <w:r>
              <w:rPr>
                <w:rFonts w:ascii="Times New Roman" w:cs="Times New Roman" w:eastAsia="Times New Roman" w:hAnsi="Times New Roman"/>
                <w:sz w:val="10"/>
                <w:szCs w:val="10"/>
                <w:b w:val="1"/>
                <w:bCs w:val="1"/>
                <w:color w:val="auto"/>
              </w:rPr>
              <w:t>Equity</w:t>
            </w:r>
          </w:p>
        </w:tc>
        <w:tc>
          <w:tcPr>
            <w:tcW w:w="80" w:type="dxa"/>
            <w:vAlign w:val="bottom"/>
          </w:tcPr>
          <w:p>
            <w:pPr>
              <w:spacing w:after="0"/>
              <w:rPr>
                <w:sz w:val="9"/>
                <w:szCs w:val="9"/>
                <w:color w:val="auto"/>
              </w:rPr>
            </w:pPr>
          </w:p>
        </w:tc>
        <w:tc>
          <w:tcPr>
            <w:tcW w:w="660" w:type="dxa"/>
            <w:vAlign w:val="bottom"/>
            <w:gridSpan w:val="2"/>
          </w:tcPr>
          <w:p>
            <w:pPr>
              <w:ind w:left="20"/>
              <w:spacing w:after="0" w:line="87" w:lineRule="exact"/>
              <w:rPr>
                <w:sz w:val="20"/>
                <w:szCs w:val="20"/>
                <w:color w:val="auto"/>
              </w:rPr>
            </w:pPr>
            <w:r>
              <w:rPr>
                <w:rFonts w:ascii="Times New Roman" w:cs="Times New Roman" w:eastAsia="Times New Roman" w:hAnsi="Times New Roman"/>
                <w:sz w:val="10"/>
                <w:szCs w:val="10"/>
                <w:b w:val="1"/>
                <w:bCs w:val="1"/>
                <w:color w:val="auto"/>
              </w:rPr>
              <w:t>Interest</w:t>
            </w:r>
          </w:p>
        </w:tc>
        <w:tc>
          <w:tcPr>
            <w:tcW w:w="140" w:type="dxa"/>
            <w:vAlign w:val="bottom"/>
          </w:tcPr>
          <w:p>
            <w:pPr>
              <w:spacing w:after="0"/>
              <w:rPr>
                <w:sz w:val="9"/>
                <w:szCs w:val="9"/>
                <w:color w:val="auto"/>
              </w:rPr>
            </w:pPr>
          </w:p>
        </w:tc>
        <w:tc>
          <w:tcPr>
            <w:tcW w:w="620" w:type="dxa"/>
            <w:vAlign w:val="bottom"/>
          </w:tcPr>
          <w:p>
            <w:pPr>
              <w:jc w:val="right"/>
              <w:ind w:right="139"/>
              <w:spacing w:after="0" w:line="87" w:lineRule="exact"/>
              <w:rPr>
                <w:sz w:val="20"/>
                <w:szCs w:val="20"/>
                <w:color w:val="auto"/>
              </w:rPr>
            </w:pPr>
            <w:r>
              <w:rPr>
                <w:rFonts w:ascii="Times New Roman" w:cs="Times New Roman" w:eastAsia="Times New Roman" w:hAnsi="Times New Roman"/>
                <w:sz w:val="10"/>
                <w:szCs w:val="10"/>
                <w:b w:val="1"/>
                <w:bCs w:val="1"/>
                <w:color w:val="auto"/>
              </w:rPr>
              <w:t>Equity</w:t>
            </w:r>
          </w:p>
        </w:tc>
        <w:tc>
          <w:tcPr>
            <w:tcW w:w="0" w:type="dxa"/>
            <w:vAlign w:val="bottom"/>
          </w:tcPr>
          <w:p>
            <w:pPr>
              <w:spacing w:after="0"/>
              <w:rPr>
                <w:sz w:val="1"/>
                <w:szCs w:val="1"/>
                <w:color w:val="auto"/>
              </w:rPr>
            </w:pPr>
          </w:p>
        </w:tc>
      </w:tr>
      <w:tr>
        <w:trPr>
          <w:trHeight w:val="33"/>
        </w:trPr>
        <w:tc>
          <w:tcPr>
            <w:tcW w:w="580" w:type="dxa"/>
            <w:vAlign w:val="bottom"/>
            <w:tcBorders>
              <w:top w:val="single" w:sz="8" w:color="auto"/>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3"/>
        </w:trPr>
        <w:tc>
          <w:tcPr>
            <w:tcW w:w="1080" w:type="dxa"/>
            <w:vAlign w:val="bottom"/>
            <w:gridSpan w:val="3"/>
            <w:shd w:val="clear" w:color="auto" w:fill="CCEEFF"/>
          </w:tcPr>
          <w:p>
            <w:pPr>
              <w:spacing w:after="0" w:line="113" w:lineRule="exact"/>
              <w:rPr>
                <w:sz w:val="20"/>
                <w:szCs w:val="20"/>
                <w:color w:val="auto"/>
              </w:rPr>
            </w:pPr>
            <w:r>
              <w:rPr>
                <w:rFonts w:ascii="Times New Roman" w:cs="Times New Roman" w:eastAsia="Times New Roman" w:hAnsi="Times New Roman"/>
                <w:sz w:val="12"/>
                <w:szCs w:val="12"/>
                <w:color w:val="auto"/>
              </w:rPr>
              <w:t>Balance as of July 1,</w:t>
            </w: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2026</w:t>
            </w: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133,858,432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98,920</w:t>
            </w:r>
          </w:p>
        </w:tc>
        <w:tc>
          <w:tcPr>
            <w:tcW w:w="32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(1,137.2)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4,676.7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(1,459.3)</w:t>
            </w: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(220.7)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1,861.3</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(7.5)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1,853.8</w:t>
            </w:r>
          </w:p>
        </w:tc>
        <w:tc>
          <w:tcPr>
            <w:tcW w:w="0" w:type="dxa"/>
            <w:vAlign w:val="bottom"/>
          </w:tcPr>
          <w:p>
            <w:pPr>
              <w:spacing w:after="0"/>
              <w:rPr>
                <w:sz w:val="1"/>
                <w:szCs w:val="1"/>
                <w:color w:val="auto"/>
              </w:rPr>
            </w:pPr>
          </w:p>
        </w:tc>
      </w:tr>
      <w:tr>
        <w:trPr>
          <w:trHeight w:val="133"/>
        </w:trPr>
        <w:tc>
          <w:tcPr>
            <w:tcW w:w="1080" w:type="dxa"/>
            <w:vAlign w:val="bottom"/>
            <w:gridSpan w:val="3"/>
          </w:tcPr>
          <w:p>
            <w:pPr>
              <w:ind w:left="100"/>
              <w:spacing w:after="0" w:line="133" w:lineRule="exact"/>
              <w:rPr>
                <w:sz w:val="20"/>
                <w:szCs w:val="20"/>
                <w:color w:val="auto"/>
              </w:rPr>
            </w:pPr>
            <w:r>
              <w:rPr>
                <w:rFonts w:ascii="Times New Roman" w:cs="Times New Roman" w:eastAsia="Times New Roman" w:hAnsi="Times New Roman"/>
                <w:sz w:val="12"/>
                <w:szCs w:val="12"/>
                <w:color w:val="auto"/>
              </w:rPr>
              <w:t>Share-based</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080" w:type="dxa"/>
            <w:vAlign w:val="bottom"/>
            <w:gridSpan w:val="3"/>
          </w:tcPr>
          <w:p>
            <w:pPr>
              <w:ind w:left="100"/>
              <w:spacing w:after="0" w:line="120" w:lineRule="exact"/>
              <w:rPr>
                <w:sz w:val="20"/>
                <w:szCs w:val="20"/>
                <w:color w:val="auto"/>
              </w:rPr>
            </w:pPr>
            <w:r>
              <w:rPr>
                <w:rFonts w:ascii="Times New Roman" w:cs="Times New Roman" w:eastAsia="Times New Roman" w:hAnsi="Times New Roman"/>
                <w:sz w:val="12"/>
                <w:szCs w:val="12"/>
                <w:color w:val="auto"/>
              </w:rPr>
              <w:t>compensation</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108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arrangements</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5"/>
                <w:szCs w:val="15"/>
                <w:color w:val="auto"/>
              </w:rPr>
            </w:pP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212,743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ind w:left="3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15.6</w:t>
            </w:r>
          </w:p>
        </w:tc>
        <w:tc>
          <w:tcPr>
            <w:tcW w:w="0" w:type="dxa"/>
            <w:vAlign w:val="bottom"/>
          </w:tcPr>
          <w:p>
            <w:pPr>
              <w:spacing w:after="0"/>
              <w:rPr>
                <w:sz w:val="1"/>
                <w:szCs w:val="1"/>
                <w:color w:val="auto"/>
              </w:rPr>
            </w:pPr>
          </w:p>
        </w:tc>
      </w:tr>
      <w:tr>
        <w:trPr>
          <w:trHeight w:val="141"/>
        </w:trPr>
        <w:tc>
          <w:tcPr>
            <w:tcW w:w="10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Currency</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1080" w:type="dxa"/>
            <w:vAlign w:val="bottom"/>
            <w:gridSpan w:val="3"/>
            <w:shd w:val="clear" w:color="auto" w:fill="CCEEFF"/>
          </w:tcPr>
          <w:p>
            <w:pPr>
              <w:ind w:left="100"/>
              <w:spacing w:after="0" w:line="120" w:lineRule="exact"/>
              <w:rPr>
                <w:sz w:val="20"/>
                <w:szCs w:val="20"/>
                <w:color w:val="auto"/>
              </w:rPr>
            </w:pPr>
            <w:r>
              <w:rPr>
                <w:rFonts w:ascii="Times New Roman" w:cs="Times New Roman" w:eastAsia="Times New Roman" w:hAnsi="Times New Roman"/>
                <w:sz w:val="12"/>
                <w:szCs w:val="12"/>
                <w:color w:val="auto"/>
              </w:rPr>
              <w:t>translation</w:t>
            </w: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10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adjustment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0" w:type="dxa"/>
            <w:vAlign w:val="bottom"/>
          </w:tcPr>
          <w:p>
            <w:pPr>
              <w:spacing w:after="0"/>
              <w:rPr>
                <w:sz w:val="1"/>
                <w:szCs w:val="1"/>
                <w:color w:val="auto"/>
              </w:rPr>
            </w:pPr>
          </w:p>
        </w:tc>
      </w:tr>
      <w:tr>
        <w:trPr>
          <w:trHeight w:val="177"/>
        </w:trPr>
        <w:tc>
          <w:tcPr>
            <w:tcW w:w="108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Net income (loss)</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5"/>
                <w:szCs w:val="15"/>
                <w:color w:val="auto"/>
              </w:rPr>
            </w:pP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33.0</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(0.4)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32.6</w:t>
            </w:r>
          </w:p>
        </w:tc>
        <w:tc>
          <w:tcPr>
            <w:tcW w:w="0" w:type="dxa"/>
            <w:vAlign w:val="bottom"/>
          </w:tcPr>
          <w:p>
            <w:pPr>
              <w:spacing w:after="0"/>
              <w:rPr>
                <w:sz w:val="1"/>
                <w:szCs w:val="1"/>
                <w:color w:val="auto"/>
              </w:rPr>
            </w:pPr>
          </w:p>
        </w:tc>
      </w:tr>
      <w:tr>
        <w:trPr>
          <w:trHeight w:val="194"/>
        </w:trPr>
        <w:tc>
          <w:tcPr>
            <w:tcW w:w="10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Other</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0" w:type="dxa"/>
            <w:vAlign w:val="bottom"/>
          </w:tcPr>
          <w:p>
            <w:pPr>
              <w:spacing w:after="0"/>
              <w:rPr>
                <w:sz w:val="1"/>
                <w:szCs w:val="1"/>
                <w:color w:val="auto"/>
              </w:rPr>
            </w:pPr>
          </w:p>
        </w:tc>
      </w:tr>
      <w:tr>
        <w:trPr>
          <w:trHeight w:val="113"/>
        </w:trPr>
        <w:tc>
          <w:tcPr>
            <w:tcW w:w="1080" w:type="dxa"/>
            <w:vAlign w:val="bottom"/>
            <w:gridSpan w:val="3"/>
          </w:tcPr>
          <w:p>
            <w:pPr>
              <w:ind w:left="100"/>
              <w:spacing w:after="0" w:line="113" w:lineRule="exact"/>
              <w:rPr>
                <w:sz w:val="20"/>
                <w:szCs w:val="20"/>
                <w:color w:val="auto"/>
              </w:rPr>
            </w:pPr>
            <w:r>
              <w:rPr>
                <w:rFonts w:ascii="Times New Roman" w:cs="Times New Roman" w:eastAsia="Times New Roman" w:hAnsi="Times New Roman"/>
                <w:sz w:val="12"/>
                <w:szCs w:val="12"/>
                <w:color w:val="auto"/>
              </w:rPr>
              <w:t>Balance as of</w:t>
            </w:r>
          </w:p>
        </w:tc>
        <w:tc>
          <w:tcPr>
            <w:tcW w:w="4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1080" w:type="dxa"/>
            <w:vAlign w:val="bottom"/>
            <w:gridSpan w:val="3"/>
          </w:tcPr>
          <w:p>
            <w:pPr>
              <w:ind w:left="100"/>
              <w:spacing w:after="0" w:line="120" w:lineRule="exact"/>
              <w:rPr>
                <w:sz w:val="20"/>
                <w:szCs w:val="20"/>
                <w:color w:val="auto"/>
              </w:rPr>
            </w:pPr>
            <w:r>
              <w:rPr>
                <w:rFonts w:ascii="Times New Roman" w:cs="Times New Roman" w:eastAsia="Times New Roman" w:hAnsi="Times New Roman"/>
                <w:sz w:val="12"/>
                <w:szCs w:val="12"/>
                <w:color w:val="auto"/>
              </w:rPr>
              <w:t>September 30,</w:t>
            </w:r>
          </w:p>
        </w:tc>
        <w:tc>
          <w:tcPr>
            <w:tcW w:w="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vMerge w:val="restart"/>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vMerge w:val="restart"/>
          </w:tcPr>
          <w:p>
            <w:pPr>
              <w:jc w:val="right"/>
              <w:ind w:right="19"/>
              <w:spacing w:after="0"/>
              <w:rPr>
                <w:sz w:val="20"/>
                <w:szCs w:val="20"/>
                <w:color w:val="auto"/>
              </w:rPr>
            </w:pPr>
            <w:r>
              <w:rPr>
                <w:rFonts w:ascii="Times New Roman" w:cs="Times New Roman" w:eastAsia="Times New Roman" w:hAnsi="Times New Roman"/>
                <w:sz w:val="12"/>
                <w:szCs w:val="12"/>
                <w:color w:val="auto"/>
              </w:rPr>
              <w:t>134,071,175</w:t>
            </w:r>
          </w:p>
        </w:tc>
        <w:tc>
          <w:tcPr>
            <w:tcW w:w="8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100" w:type="dxa"/>
            <w:vAlign w:val="bottom"/>
          </w:tcPr>
          <w:p>
            <w:pPr>
              <w:spacing w:after="0"/>
              <w:rPr>
                <w:sz w:val="10"/>
                <w:szCs w:val="10"/>
                <w:color w:val="auto"/>
              </w:rPr>
            </w:pPr>
          </w:p>
        </w:tc>
        <w:tc>
          <w:tcPr>
            <w:tcW w:w="780" w:type="dxa"/>
            <w:vAlign w:val="bottom"/>
            <w:vMerge w:val="restart"/>
          </w:tcPr>
          <w:p>
            <w:pPr>
              <w:jc w:val="right"/>
              <w:ind w:right="19"/>
              <w:spacing w:after="0"/>
              <w:rPr>
                <w:sz w:val="20"/>
                <w:szCs w:val="20"/>
                <w:color w:val="auto"/>
              </w:rPr>
            </w:pPr>
            <w:r>
              <w:rPr>
                <w:rFonts w:ascii="Times New Roman" w:cs="Times New Roman" w:eastAsia="Times New Roman" w:hAnsi="Times New Roman"/>
                <w:sz w:val="12"/>
                <w:szCs w:val="12"/>
                <w:color w:val="auto"/>
              </w:rPr>
              <w:t>98,920</w:t>
            </w:r>
          </w:p>
        </w:tc>
        <w:tc>
          <w:tcPr>
            <w:tcW w:w="32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(1,137.2)</w:t>
            </w:r>
          </w:p>
        </w:tc>
        <w:tc>
          <w:tcPr>
            <w:tcW w:w="10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4,689.1</w:t>
            </w:r>
          </w:p>
        </w:tc>
        <w:tc>
          <w:tcPr>
            <w:tcW w:w="100" w:type="dxa"/>
            <w:vAlign w:val="bottom"/>
          </w:tcPr>
          <w:p>
            <w:pPr>
              <w:spacing w:after="0"/>
              <w:rPr>
                <w:sz w:val="10"/>
                <w:szCs w:val="10"/>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(1,426.3)</w:t>
            </w:r>
          </w:p>
        </w:tc>
        <w:tc>
          <w:tcPr>
            <w:tcW w:w="100" w:type="dxa"/>
            <w:vAlign w:val="bottom"/>
          </w:tcPr>
          <w:p>
            <w:pPr>
              <w:spacing w:after="0"/>
              <w:rPr>
                <w:sz w:val="10"/>
                <w:szCs w:val="10"/>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(222.3)</w:t>
            </w:r>
          </w:p>
        </w:tc>
        <w:tc>
          <w:tcPr>
            <w:tcW w:w="100" w:type="dxa"/>
            <w:vAlign w:val="bottom"/>
          </w:tcPr>
          <w:p>
            <w:pPr>
              <w:spacing w:after="0"/>
              <w:rPr>
                <w:sz w:val="10"/>
                <w:szCs w:val="10"/>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1,905.1</w:t>
            </w:r>
          </w:p>
        </w:tc>
        <w:tc>
          <w:tcPr>
            <w:tcW w:w="100" w:type="dxa"/>
            <w:vAlign w:val="bottom"/>
          </w:tcPr>
          <w:p>
            <w:pPr>
              <w:spacing w:after="0"/>
              <w:rPr>
                <w:sz w:val="10"/>
                <w:szCs w:val="10"/>
                <w:color w:val="auto"/>
              </w:rPr>
            </w:pPr>
          </w:p>
        </w:tc>
        <w:tc>
          <w:tcPr>
            <w:tcW w:w="8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vMerge w:val="restart"/>
          </w:tcPr>
          <w:p>
            <w:pPr>
              <w:ind w:left="300"/>
              <w:spacing w:after="0"/>
              <w:rPr>
                <w:sz w:val="20"/>
                <w:szCs w:val="20"/>
                <w:color w:val="auto"/>
              </w:rPr>
            </w:pPr>
            <w:r>
              <w:rPr>
                <w:rFonts w:ascii="Times New Roman" w:cs="Times New Roman" w:eastAsia="Times New Roman" w:hAnsi="Times New Roman"/>
                <w:sz w:val="12"/>
                <w:szCs w:val="12"/>
                <w:color w:val="auto"/>
              </w:rPr>
              <w:t>(7.9)</w:t>
            </w:r>
          </w:p>
        </w:tc>
        <w:tc>
          <w:tcPr>
            <w:tcW w:w="100" w:type="dxa"/>
            <w:vAlign w:val="bottom"/>
          </w:tcPr>
          <w:p>
            <w:pPr>
              <w:spacing w:after="0"/>
              <w:rPr>
                <w:sz w:val="10"/>
                <w:szCs w:val="10"/>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1,897.2</w:t>
            </w:r>
          </w:p>
        </w:tc>
        <w:tc>
          <w:tcPr>
            <w:tcW w:w="0" w:type="dxa"/>
            <w:vAlign w:val="bottom"/>
          </w:tcPr>
          <w:p>
            <w:pPr>
              <w:spacing w:after="0"/>
              <w:rPr>
                <w:sz w:val="1"/>
                <w:szCs w:val="1"/>
                <w:color w:val="auto"/>
              </w:rPr>
            </w:pPr>
          </w:p>
        </w:tc>
      </w:tr>
      <w:tr>
        <w:trPr>
          <w:trHeight w:val="159"/>
        </w:trPr>
        <w:tc>
          <w:tcPr>
            <w:tcW w:w="5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2026</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440" w:type="dxa"/>
            <w:vAlign w:val="bottom"/>
            <w:gridSpan w:val="2"/>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440" w:type="dxa"/>
            <w:vAlign w:val="bottom"/>
            <w:gridSpan w:val="2"/>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1080" w:type="dxa"/>
            <w:vAlign w:val="bottom"/>
            <w:gridSpan w:val="3"/>
          </w:tcPr>
          <w:p>
            <w:pPr>
              <w:spacing w:after="0" w:line="133" w:lineRule="exact"/>
              <w:rPr>
                <w:sz w:val="20"/>
                <w:szCs w:val="20"/>
                <w:color w:val="auto"/>
              </w:rPr>
            </w:pPr>
            <w:r>
              <w:rPr>
                <w:rFonts w:ascii="Times New Roman" w:cs="Times New Roman" w:eastAsia="Times New Roman" w:hAnsi="Times New Roman"/>
                <w:sz w:val="12"/>
                <w:szCs w:val="12"/>
                <w:color w:val="auto"/>
              </w:rPr>
              <w:t>Balance as of July 1,</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580" w:type="dxa"/>
            <w:vAlign w:val="bottom"/>
          </w:tcPr>
          <w:p>
            <w:pPr>
              <w:spacing w:after="0"/>
              <w:rPr>
                <w:sz w:val="20"/>
                <w:szCs w:val="20"/>
                <w:color w:val="auto"/>
              </w:rPr>
            </w:pPr>
            <w:r>
              <w:rPr>
                <w:rFonts w:ascii="Times New Roman" w:cs="Times New Roman" w:eastAsia="Times New Roman" w:hAnsi="Times New Roman"/>
                <w:sz w:val="12"/>
                <w:szCs w:val="12"/>
                <w:color w:val="auto"/>
              </w:rPr>
              <w:t>2025</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145,452,528</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380,478</w:t>
            </w:r>
          </w:p>
        </w:tc>
        <w:tc>
          <w:tcPr>
            <w:tcW w:w="320" w:type="dxa"/>
            <w:vAlign w:val="bottom"/>
            <w:gridSpan w:val="2"/>
          </w:tcPr>
          <w:p>
            <w:pPr>
              <w:jc w:val="right"/>
              <w:ind w:right="108"/>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(895.8)</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4,597.7</w:t>
            </w:r>
          </w:p>
        </w:tc>
        <w:tc>
          <w:tcPr>
            <w:tcW w:w="100" w:type="dxa"/>
            <w:vAlign w:val="bottom"/>
          </w:tcPr>
          <w:p>
            <w:pPr>
              <w:spacing w:after="0"/>
              <w:rPr>
                <w:sz w:val="15"/>
                <w:szCs w:val="15"/>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(552.6)</w:t>
            </w:r>
          </w:p>
        </w:tc>
        <w:tc>
          <w:tcPr>
            <w:tcW w:w="100" w:type="dxa"/>
            <w:vAlign w:val="bottom"/>
          </w:tcPr>
          <w:p>
            <w:pPr>
              <w:spacing w:after="0"/>
              <w:rPr>
                <w:sz w:val="15"/>
                <w:szCs w:val="15"/>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(163.0)</w:t>
            </w:r>
          </w:p>
        </w:tc>
        <w:tc>
          <w:tcPr>
            <w:tcW w:w="100" w:type="dxa"/>
            <w:vAlign w:val="bottom"/>
          </w:tcPr>
          <w:p>
            <w:pPr>
              <w:spacing w:after="0"/>
              <w:rPr>
                <w:sz w:val="15"/>
                <w:szCs w:val="15"/>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2,988.1</w:t>
            </w:r>
          </w:p>
        </w:tc>
        <w:tc>
          <w:tcPr>
            <w:tcW w:w="100" w:type="dxa"/>
            <w:vAlign w:val="bottom"/>
          </w:tcPr>
          <w:p>
            <w:pPr>
              <w:spacing w:after="0"/>
              <w:rPr>
                <w:sz w:val="15"/>
                <w:szCs w:val="15"/>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(5.5)</w:t>
            </w:r>
          </w:p>
        </w:tc>
        <w:tc>
          <w:tcPr>
            <w:tcW w:w="10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2,982.6</w:t>
            </w:r>
          </w:p>
        </w:tc>
        <w:tc>
          <w:tcPr>
            <w:tcW w:w="0" w:type="dxa"/>
            <w:vAlign w:val="bottom"/>
          </w:tcPr>
          <w:p>
            <w:pPr>
              <w:spacing w:after="0"/>
              <w:rPr>
                <w:sz w:val="1"/>
                <w:szCs w:val="1"/>
                <w:color w:val="auto"/>
              </w:rPr>
            </w:pPr>
          </w:p>
        </w:tc>
      </w:tr>
      <w:tr>
        <w:trPr>
          <w:trHeight w:val="141"/>
        </w:trPr>
        <w:tc>
          <w:tcPr>
            <w:tcW w:w="10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Share-based</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1080" w:type="dxa"/>
            <w:vAlign w:val="bottom"/>
            <w:gridSpan w:val="3"/>
            <w:shd w:val="clear" w:color="auto" w:fill="CCEEFF"/>
          </w:tcPr>
          <w:p>
            <w:pPr>
              <w:ind w:left="100"/>
              <w:spacing w:after="0" w:line="120" w:lineRule="exact"/>
              <w:rPr>
                <w:sz w:val="20"/>
                <w:szCs w:val="20"/>
                <w:color w:val="auto"/>
              </w:rPr>
            </w:pPr>
            <w:r>
              <w:rPr>
                <w:rFonts w:ascii="Times New Roman" w:cs="Times New Roman" w:eastAsia="Times New Roman" w:hAnsi="Times New Roman"/>
                <w:sz w:val="12"/>
                <w:szCs w:val="12"/>
                <w:color w:val="auto"/>
              </w:rPr>
              <w:t>compensation</w:t>
            </w: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10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arrangements</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231,410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16.8</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16.8</w:t>
            </w:r>
          </w:p>
        </w:tc>
        <w:tc>
          <w:tcPr>
            <w:tcW w:w="0" w:type="dxa"/>
            <w:vAlign w:val="bottom"/>
          </w:tcPr>
          <w:p>
            <w:pPr>
              <w:spacing w:after="0"/>
              <w:rPr>
                <w:sz w:val="1"/>
                <w:szCs w:val="1"/>
                <w:color w:val="auto"/>
              </w:rPr>
            </w:pPr>
          </w:p>
        </w:tc>
      </w:tr>
      <w:tr>
        <w:trPr>
          <w:trHeight w:val="177"/>
        </w:trPr>
        <w:tc>
          <w:tcPr>
            <w:tcW w:w="108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Share repurchases</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5"/>
                <w:szCs w:val="15"/>
                <w:color w:val="auto"/>
              </w:rPr>
            </w:pP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(7,965,282)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(154.1)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(154.1)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ind w:left="3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(154.1)</w:t>
            </w:r>
          </w:p>
        </w:tc>
        <w:tc>
          <w:tcPr>
            <w:tcW w:w="0" w:type="dxa"/>
            <w:vAlign w:val="bottom"/>
          </w:tcPr>
          <w:p>
            <w:pPr>
              <w:spacing w:after="0"/>
              <w:rPr>
                <w:sz w:val="1"/>
                <w:szCs w:val="1"/>
                <w:color w:val="auto"/>
              </w:rPr>
            </w:pPr>
          </w:p>
        </w:tc>
      </w:tr>
      <w:tr>
        <w:trPr>
          <w:trHeight w:val="141"/>
        </w:trPr>
        <w:tc>
          <w:tcPr>
            <w:tcW w:w="10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Exchangeable</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0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share conversions</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537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(537)</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3"/>
        </w:trPr>
        <w:tc>
          <w:tcPr>
            <w:tcW w:w="1080" w:type="dxa"/>
            <w:vAlign w:val="bottom"/>
            <w:gridSpan w:val="3"/>
          </w:tcPr>
          <w:p>
            <w:pPr>
              <w:ind w:left="100"/>
              <w:spacing w:after="0" w:line="133" w:lineRule="exact"/>
              <w:rPr>
                <w:sz w:val="20"/>
                <w:szCs w:val="20"/>
                <w:color w:val="auto"/>
              </w:rPr>
            </w:pPr>
            <w:r>
              <w:rPr>
                <w:rFonts w:ascii="Times New Roman" w:cs="Times New Roman" w:eastAsia="Times New Roman" w:hAnsi="Times New Roman"/>
                <w:sz w:val="12"/>
                <w:szCs w:val="12"/>
                <w:color w:val="auto"/>
              </w:rPr>
              <w:t>Investment</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080" w:type="dxa"/>
            <w:vAlign w:val="bottom"/>
            <w:gridSpan w:val="3"/>
          </w:tcPr>
          <w:p>
            <w:pPr>
              <w:ind w:left="100"/>
              <w:spacing w:after="0" w:line="120" w:lineRule="exact"/>
              <w:rPr>
                <w:sz w:val="20"/>
                <w:szCs w:val="20"/>
                <w:color w:val="auto"/>
              </w:rPr>
            </w:pPr>
            <w:r>
              <w:rPr>
                <w:rFonts w:ascii="Times New Roman" w:cs="Times New Roman" w:eastAsia="Times New Roman" w:hAnsi="Times New Roman"/>
                <w:sz w:val="12"/>
                <w:szCs w:val="12"/>
                <w:color w:val="auto"/>
              </w:rPr>
              <w:t>Agreement</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108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warrants</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5"/>
                <w:szCs w:val="15"/>
                <w:color w:val="auto"/>
              </w:rPr>
            </w:pP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ind w:left="3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14.5</w:t>
            </w:r>
          </w:p>
        </w:tc>
        <w:tc>
          <w:tcPr>
            <w:tcW w:w="0" w:type="dxa"/>
            <w:vAlign w:val="bottom"/>
          </w:tcPr>
          <w:p>
            <w:pPr>
              <w:spacing w:after="0"/>
              <w:rPr>
                <w:sz w:val="1"/>
                <w:szCs w:val="1"/>
                <w:color w:val="auto"/>
              </w:rPr>
            </w:pPr>
          </w:p>
        </w:tc>
      </w:tr>
      <w:tr>
        <w:trPr>
          <w:trHeight w:val="141"/>
        </w:trPr>
        <w:tc>
          <w:tcPr>
            <w:tcW w:w="10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Currency</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1080" w:type="dxa"/>
            <w:vAlign w:val="bottom"/>
            <w:gridSpan w:val="3"/>
            <w:shd w:val="clear" w:color="auto" w:fill="CCEEFF"/>
          </w:tcPr>
          <w:p>
            <w:pPr>
              <w:ind w:left="100"/>
              <w:spacing w:after="0" w:line="120" w:lineRule="exact"/>
              <w:rPr>
                <w:sz w:val="20"/>
                <w:szCs w:val="20"/>
                <w:color w:val="auto"/>
              </w:rPr>
            </w:pPr>
            <w:r>
              <w:rPr>
                <w:rFonts w:ascii="Times New Roman" w:cs="Times New Roman" w:eastAsia="Times New Roman" w:hAnsi="Times New Roman"/>
                <w:sz w:val="12"/>
                <w:szCs w:val="12"/>
                <w:color w:val="auto"/>
              </w:rPr>
              <w:t>translation</w:t>
            </w: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10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adjustment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(38.2)</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(38.2)</w:t>
            </w:r>
          </w:p>
        </w:tc>
        <w:tc>
          <w:tcPr>
            <w:tcW w:w="0" w:type="dxa"/>
            <w:vAlign w:val="bottom"/>
          </w:tcPr>
          <w:p>
            <w:pPr>
              <w:spacing w:after="0"/>
              <w:rPr>
                <w:sz w:val="1"/>
                <w:szCs w:val="1"/>
                <w:color w:val="auto"/>
              </w:rPr>
            </w:pPr>
          </w:p>
        </w:tc>
      </w:tr>
      <w:tr>
        <w:trPr>
          <w:trHeight w:val="177"/>
        </w:trPr>
        <w:tc>
          <w:tcPr>
            <w:tcW w:w="108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Net loss</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5"/>
                <w:szCs w:val="15"/>
                <w:color w:val="auto"/>
              </w:rPr>
            </w:pP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(864.6)</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(864.6)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(0.5)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(865.1)</w:t>
            </w:r>
          </w:p>
        </w:tc>
        <w:tc>
          <w:tcPr>
            <w:tcW w:w="0" w:type="dxa"/>
            <w:vAlign w:val="bottom"/>
          </w:tcPr>
          <w:p>
            <w:pPr>
              <w:spacing w:after="0"/>
              <w:rPr>
                <w:sz w:val="1"/>
                <w:szCs w:val="1"/>
                <w:color w:val="auto"/>
              </w:rPr>
            </w:pPr>
          </w:p>
        </w:tc>
      </w:tr>
      <w:tr>
        <w:trPr>
          <w:trHeight w:val="194"/>
        </w:trPr>
        <w:tc>
          <w:tcPr>
            <w:tcW w:w="10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Other</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0" w:type="dxa"/>
            <w:vAlign w:val="bottom"/>
          </w:tcPr>
          <w:p>
            <w:pPr>
              <w:spacing w:after="0"/>
              <w:rPr>
                <w:sz w:val="1"/>
                <w:szCs w:val="1"/>
                <w:color w:val="auto"/>
              </w:rPr>
            </w:pPr>
          </w:p>
        </w:tc>
      </w:tr>
      <w:tr>
        <w:trPr>
          <w:trHeight w:val="113"/>
        </w:trPr>
        <w:tc>
          <w:tcPr>
            <w:tcW w:w="1080" w:type="dxa"/>
            <w:vAlign w:val="bottom"/>
            <w:gridSpan w:val="3"/>
          </w:tcPr>
          <w:p>
            <w:pPr>
              <w:ind w:left="100"/>
              <w:spacing w:after="0" w:line="113" w:lineRule="exact"/>
              <w:rPr>
                <w:sz w:val="20"/>
                <w:szCs w:val="20"/>
                <w:color w:val="auto"/>
              </w:rPr>
            </w:pPr>
            <w:r>
              <w:rPr>
                <w:rFonts w:ascii="Times New Roman" w:cs="Times New Roman" w:eastAsia="Times New Roman" w:hAnsi="Times New Roman"/>
                <w:sz w:val="12"/>
                <w:szCs w:val="12"/>
                <w:color w:val="auto"/>
              </w:rPr>
              <w:t>Balance as of</w:t>
            </w:r>
          </w:p>
        </w:tc>
        <w:tc>
          <w:tcPr>
            <w:tcW w:w="4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1080" w:type="dxa"/>
            <w:vAlign w:val="bottom"/>
            <w:gridSpan w:val="3"/>
          </w:tcPr>
          <w:p>
            <w:pPr>
              <w:ind w:left="100"/>
              <w:spacing w:after="0" w:line="120" w:lineRule="exact"/>
              <w:rPr>
                <w:sz w:val="20"/>
                <w:szCs w:val="20"/>
                <w:color w:val="auto"/>
              </w:rPr>
            </w:pPr>
            <w:r>
              <w:rPr>
                <w:rFonts w:ascii="Times New Roman" w:cs="Times New Roman" w:eastAsia="Times New Roman" w:hAnsi="Times New Roman"/>
                <w:sz w:val="12"/>
                <w:szCs w:val="12"/>
                <w:color w:val="auto"/>
              </w:rPr>
              <w:t>September 30,</w:t>
            </w:r>
          </w:p>
        </w:tc>
        <w:tc>
          <w:tcPr>
            <w:tcW w:w="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vMerge w:val="restart"/>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vMerge w:val="restart"/>
          </w:tcPr>
          <w:p>
            <w:pPr>
              <w:jc w:val="right"/>
              <w:ind w:right="19"/>
              <w:spacing w:after="0"/>
              <w:rPr>
                <w:sz w:val="20"/>
                <w:szCs w:val="20"/>
                <w:color w:val="auto"/>
              </w:rPr>
            </w:pPr>
            <w:r>
              <w:rPr>
                <w:rFonts w:ascii="Times New Roman" w:cs="Times New Roman" w:eastAsia="Times New Roman" w:hAnsi="Times New Roman"/>
                <w:sz w:val="12"/>
                <w:szCs w:val="12"/>
                <w:color w:val="auto"/>
              </w:rPr>
              <w:t>137,719,193</w:t>
            </w:r>
          </w:p>
        </w:tc>
        <w:tc>
          <w:tcPr>
            <w:tcW w:w="8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1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379,941</w:t>
            </w:r>
          </w:p>
        </w:tc>
        <w:tc>
          <w:tcPr>
            <w:tcW w:w="32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(1,051.3)</w:t>
            </w:r>
          </w:p>
        </w:tc>
        <w:tc>
          <w:tcPr>
            <w:tcW w:w="10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4,626.7</w:t>
            </w:r>
          </w:p>
        </w:tc>
        <w:tc>
          <w:tcPr>
            <w:tcW w:w="100" w:type="dxa"/>
            <w:vAlign w:val="bottom"/>
          </w:tcPr>
          <w:p>
            <w:pPr>
              <w:spacing w:after="0"/>
              <w:rPr>
                <w:sz w:val="10"/>
                <w:szCs w:val="10"/>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(1,417.2)</w:t>
            </w:r>
          </w:p>
        </w:tc>
        <w:tc>
          <w:tcPr>
            <w:tcW w:w="100" w:type="dxa"/>
            <w:vAlign w:val="bottom"/>
          </w:tcPr>
          <w:p>
            <w:pPr>
              <w:spacing w:after="0"/>
              <w:rPr>
                <w:sz w:val="10"/>
                <w:szCs w:val="10"/>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(201.2)</w:t>
            </w:r>
          </w:p>
        </w:tc>
        <w:tc>
          <w:tcPr>
            <w:tcW w:w="100" w:type="dxa"/>
            <w:vAlign w:val="bottom"/>
          </w:tcPr>
          <w:p>
            <w:pPr>
              <w:spacing w:after="0"/>
              <w:rPr>
                <w:sz w:val="10"/>
                <w:szCs w:val="10"/>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1,958.8</w:t>
            </w:r>
          </w:p>
        </w:tc>
        <w:tc>
          <w:tcPr>
            <w:tcW w:w="100" w:type="dxa"/>
            <w:vAlign w:val="bottom"/>
          </w:tcPr>
          <w:p>
            <w:pPr>
              <w:spacing w:after="0"/>
              <w:rPr>
                <w:sz w:val="10"/>
                <w:szCs w:val="10"/>
                <w:color w:val="auto"/>
              </w:rPr>
            </w:pPr>
          </w:p>
        </w:tc>
        <w:tc>
          <w:tcPr>
            <w:tcW w:w="8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vMerge w:val="restart"/>
          </w:tcPr>
          <w:p>
            <w:pPr>
              <w:ind w:left="300"/>
              <w:spacing w:after="0"/>
              <w:rPr>
                <w:sz w:val="20"/>
                <w:szCs w:val="20"/>
                <w:color w:val="auto"/>
              </w:rPr>
            </w:pPr>
            <w:r>
              <w:rPr>
                <w:rFonts w:ascii="Times New Roman" w:cs="Times New Roman" w:eastAsia="Times New Roman" w:hAnsi="Times New Roman"/>
                <w:sz w:val="12"/>
                <w:szCs w:val="12"/>
                <w:color w:val="auto"/>
              </w:rPr>
              <w:t>(6.0)</w:t>
            </w:r>
          </w:p>
        </w:tc>
        <w:tc>
          <w:tcPr>
            <w:tcW w:w="100" w:type="dxa"/>
            <w:vAlign w:val="bottom"/>
          </w:tcPr>
          <w:p>
            <w:pPr>
              <w:spacing w:after="0"/>
              <w:rPr>
                <w:sz w:val="10"/>
                <w:szCs w:val="10"/>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1,952.8</w:t>
            </w:r>
          </w:p>
        </w:tc>
        <w:tc>
          <w:tcPr>
            <w:tcW w:w="0" w:type="dxa"/>
            <w:vAlign w:val="bottom"/>
          </w:tcPr>
          <w:p>
            <w:pPr>
              <w:spacing w:after="0"/>
              <w:rPr>
                <w:sz w:val="1"/>
                <w:szCs w:val="1"/>
                <w:color w:val="auto"/>
              </w:rPr>
            </w:pPr>
          </w:p>
        </w:tc>
      </w:tr>
      <w:tr>
        <w:trPr>
          <w:trHeight w:val="159"/>
        </w:trPr>
        <w:tc>
          <w:tcPr>
            <w:tcW w:w="5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2025</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440" w:type="dxa"/>
            <w:vAlign w:val="bottom"/>
            <w:gridSpan w:val="2"/>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440" w:type="dxa"/>
            <w:vAlign w:val="bottom"/>
            <w:gridSpan w:val="2"/>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187960</wp:posOffset>
            </wp:positionV>
            <wp:extent cx="716026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gridSpan w:val="13"/>
          </w:tcPr>
          <w:p>
            <w:pPr>
              <w:ind w:left="80"/>
              <w:spacing w:after="0"/>
              <w:rPr>
                <w:sz w:val="20"/>
                <w:szCs w:val="20"/>
                <w:color w:val="auto"/>
              </w:rPr>
            </w:pPr>
            <w:r>
              <w:rPr>
                <w:rFonts w:ascii="Times New Roman" w:cs="Times New Roman" w:eastAsia="Times New Roman" w:hAnsi="Times New Roman"/>
                <w:sz w:val="12"/>
                <w:szCs w:val="12"/>
                <w:b w:val="1"/>
                <w:bCs w:val="1"/>
                <w:color w:val="auto"/>
              </w:rPr>
              <w:t>Nine Months Ended September 30, 2026 and 2025</w:t>
            </w:r>
          </w:p>
        </w:tc>
        <w:tc>
          <w:tcPr>
            <w:tcW w:w="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5"/>
          </w:tcPr>
          <w:p>
            <w:pPr>
              <w:ind w:left="140"/>
              <w:spacing w:after="0"/>
              <w:rPr>
                <w:sz w:val="20"/>
                <w:szCs w:val="20"/>
                <w:color w:val="auto"/>
              </w:rPr>
            </w:pPr>
            <w:r>
              <w:rPr>
                <w:rFonts w:ascii="Times New Roman" w:cs="Times New Roman" w:eastAsia="Times New Roman" w:hAnsi="Times New Roman"/>
                <w:sz w:val="12"/>
                <w:szCs w:val="12"/>
                <w:b w:val="1"/>
                <w:bCs w:val="1"/>
                <w:color w:val="auto"/>
              </w:rPr>
              <w:t>Preferred Stock</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3"/>
          </w:tcPr>
          <w:p>
            <w:pPr>
              <w:jc w:val="right"/>
              <w:ind w:right="418"/>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9"/>
        </w:trPr>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PENN</w:t>
            </w: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00" w:type="dxa"/>
            <w:vAlign w:val="bottom"/>
          </w:tcPr>
          <w:p>
            <w:pPr>
              <w:spacing w:after="0"/>
              <w:rPr>
                <w:sz w:val="24"/>
                <w:szCs w:val="24"/>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Retained</w:t>
            </w:r>
          </w:p>
        </w:tc>
        <w:tc>
          <w:tcPr>
            <w:tcW w:w="60" w:type="dxa"/>
            <w:vAlign w:val="bottom"/>
          </w:tcPr>
          <w:p>
            <w:pPr>
              <w:spacing w:after="0"/>
              <w:rPr>
                <w:sz w:val="24"/>
                <w:szCs w:val="24"/>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8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8"/>
              </w:rPr>
              <w:t>Total PENN</w:t>
            </w:r>
          </w:p>
        </w:tc>
        <w:tc>
          <w:tcPr>
            <w:tcW w:w="80" w:type="dxa"/>
            <w:vAlign w:val="bottom"/>
          </w:tcPr>
          <w:p>
            <w:pPr>
              <w:spacing w:after="0"/>
              <w:rPr>
                <w:sz w:val="24"/>
                <w:szCs w:val="24"/>
                <w:color w:val="auto"/>
              </w:rPr>
            </w:pPr>
          </w:p>
        </w:tc>
        <w:tc>
          <w:tcPr>
            <w:tcW w:w="6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Non-</w:t>
            </w:r>
          </w:p>
        </w:tc>
        <w:tc>
          <w:tcPr>
            <w:tcW w:w="140" w:type="dxa"/>
            <w:vAlign w:val="bottom"/>
          </w:tcPr>
          <w:p>
            <w:pPr>
              <w:spacing w:after="0"/>
              <w:rPr>
                <w:sz w:val="24"/>
                <w:szCs w:val="24"/>
                <w:color w:val="auto"/>
              </w:rPr>
            </w:pPr>
          </w:p>
        </w:tc>
        <w:tc>
          <w:tcPr>
            <w:tcW w:w="620" w:type="dxa"/>
            <w:vAlign w:val="bottom"/>
            <w:vMerge w:val="restart"/>
          </w:tcPr>
          <w:p>
            <w:pPr>
              <w:jc w:val="right"/>
              <w:ind w:right="178"/>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26"/>
        </w:trPr>
        <w:tc>
          <w:tcPr>
            <w:tcW w:w="108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b w:val="1"/>
                <w:bCs w:val="1"/>
                <w:i w:val="1"/>
                <w:iCs w:val="1"/>
                <w:color w:val="auto"/>
              </w:rPr>
              <w:t>(in millions, except</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Exchangeable</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Treasury</w:t>
            </w:r>
          </w:p>
        </w:tc>
        <w:tc>
          <w:tcPr>
            <w:tcW w:w="74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220"/>
              <w:spacing w:after="0" w:line="126" w:lineRule="exact"/>
              <w:rPr>
                <w:sz w:val="20"/>
                <w:szCs w:val="20"/>
                <w:color w:val="auto"/>
              </w:rPr>
            </w:pPr>
            <w:r>
              <w:rPr>
                <w:rFonts w:ascii="Times New Roman" w:cs="Times New Roman" w:eastAsia="Times New Roman" w:hAnsi="Times New Roman"/>
                <w:sz w:val="12"/>
                <w:szCs w:val="12"/>
                <w:b w:val="1"/>
                <w:bCs w:val="1"/>
                <w:color w:val="auto"/>
              </w:rPr>
              <w:t>Earnings</w:t>
            </w:r>
          </w:p>
        </w:tc>
        <w:tc>
          <w:tcPr>
            <w:tcW w:w="60" w:type="dxa"/>
            <w:vAlign w:val="bottom"/>
          </w:tcPr>
          <w:p>
            <w:pPr>
              <w:spacing w:after="0"/>
              <w:rPr>
                <w:sz w:val="10"/>
                <w:szCs w:val="10"/>
                <w:color w:val="auto"/>
              </w:rPr>
            </w:pPr>
          </w:p>
        </w:tc>
        <w:tc>
          <w:tcPr>
            <w:tcW w:w="900" w:type="dxa"/>
            <w:vAlign w:val="bottom"/>
            <w:gridSpan w:val="2"/>
          </w:tcPr>
          <w:p>
            <w:pPr>
              <w:jc w:val="center"/>
              <w:ind w:right="180"/>
              <w:spacing w:after="0" w:line="126" w:lineRule="exact"/>
              <w:rPr>
                <w:sz w:val="20"/>
                <w:szCs w:val="20"/>
                <w:color w:val="auto"/>
              </w:rPr>
            </w:pPr>
            <w:r>
              <w:rPr>
                <w:rFonts w:ascii="Times New Roman" w:cs="Times New Roman" w:eastAsia="Times New Roman" w:hAnsi="Times New Roman"/>
                <w:sz w:val="12"/>
                <w:szCs w:val="12"/>
                <w:b w:val="1"/>
                <w:bCs w:val="1"/>
                <w:color w:val="auto"/>
              </w:rPr>
              <w:t>Other</w:t>
            </w:r>
          </w:p>
        </w:tc>
        <w:tc>
          <w:tcPr>
            <w:tcW w:w="86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080" w:type="dxa"/>
            <w:vAlign w:val="bottom"/>
            <w:gridSpan w:val="3"/>
            <w:vMerge w:val="continue"/>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center"/>
              <w:ind w:right="100"/>
              <w:spacing w:after="0" w:line="100" w:lineRule="exact"/>
              <w:rPr>
                <w:sz w:val="20"/>
                <w:szCs w:val="20"/>
                <w:color w:val="auto"/>
              </w:rPr>
            </w:pPr>
            <w:r>
              <w:rPr>
                <w:rFonts w:ascii="Times New Roman" w:cs="Times New Roman" w:eastAsia="Times New Roman" w:hAnsi="Times New Roman"/>
                <w:sz w:val="11"/>
                <w:szCs w:val="11"/>
                <w:b w:val="1"/>
                <w:bCs w:val="1"/>
                <w:color w:val="auto"/>
              </w:rPr>
              <w:t>Entertainment,</w:t>
            </w: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center"/>
              <w:ind w:right="200"/>
              <w:spacing w:after="0" w:line="100" w:lineRule="exact"/>
              <w:rPr>
                <w:sz w:val="20"/>
                <w:szCs w:val="20"/>
                <w:color w:val="auto"/>
              </w:rPr>
            </w:pPr>
            <w:r>
              <w:rPr>
                <w:rFonts w:ascii="Times New Roman" w:cs="Times New Roman" w:eastAsia="Times New Roman" w:hAnsi="Times New Roman"/>
                <w:sz w:val="11"/>
                <w:szCs w:val="11"/>
                <w:b w:val="1"/>
                <w:bCs w:val="1"/>
                <w:color w:val="auto"/>
              </w:rPr>
              <w:t>Paid-In</w:t>
            </w:r>
          </w:p>
        </w:tc>
        <w:tc>
          <w:tcPr>
            <w:tcW w:w="880" w:type="dxa"/>
            <w:vAlign w:val="bottom"/>
            <w:gridSpan w:val="3"/>
          </w:tcPr>
          <w:p>
            <w:pPr>
              <w:ind w:left="20"/>
              <w:spacing w:after="0" w:line="100"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960" w:type="dxa"/>
            <w:vAlign w:val="bottom"/>
            <w:gridSpan w:val="3"/>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860" w:type="dxa"/>
            <w:vAlign w:val="bottom"/>
            <w:gridSpan w:val="3"/>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740" w:type="dxa"/>
            <w:vAlign w:val="bottom"/>
            <w:gridSpan w:val="3"/>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Controlling</w:t>
            </w:r>
          </w:p>
        </w:tc>
        <w:tc>
          <w:tcPr>
            <w:tcW w:w="760" w:type="dxa"/>
            <w:vAlign w:val="bottom"/>
            <w:gridSpan w:val="2"/>
          </w:tcPr>
          <w:p>
            <w:pPr>
              <w:ind w:left="20"/>
              <w:spacing w:after="0" w:line="100"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113"/>
        </w:trPr>
        <w:tc>
          <w:tcPr>
            <w:tcW w:w="980" w:type="dxa"/>
            <w:vAlign w:val="bottom"/>
            <w:tcBorders>
              <w:top w:val="single" w:sz="8" w:color="auto"/>
            </w:tcBorders>
            <w:gridSpan w:val="2"/>
          </w:tcPr>
          <w:p>
            <w:pPr>
              <w:spacing w:after="0" w:line="113" w:lineRule="exact"/>
              <w:rPr>
                <w:sz w:val="20"/>
                <w:szCs w:val="20"/>
                <w:color w:val="auto"/>
              </w:rPr>
            </w:pPr>
            <w:r>
              <w:rPr>
                <w:rFonts w:ascii="Times New Roman" w:cs="Times New Roman" w:eastAsia="Times New Roman" w:hAnsi="Times New Roman"/>
                <w:sz w:val="12"/>
                <w:szCs w:val="12"/>
                <w:b w:val="1"/>
                <w:bCs w:val="1"/>
                <w:i w:val="1"/>
                <w:iCs w:val="1"/>
                <w:color w:val="auto"/>
              </w:rPr>
              <w:t>share data)</w:t>
            </w:r>
          </w:p>
        </w:tc>
        <w:tc>
          <w:tcPr>
            <w:tcW w:w="100" w:type="dxa"/>
            <w:vAlign w:val="bottom"/>
          </w:tcPr>
          <w:p>
            <w:pPr>
              <w:spacing w:after="0"/>
              <w:rPr>
                <w:sz w:val="9"/>
                <w:szCs w:val="9"/>
                <w:color w:val="auto"/>
              </w:rPr>
            </w:pPr>
          </w:p>
        </w:tc>
        <w:tc>
          <w:tcPr>
            <w:tcW w:w="580" w:type="dxa"/>
            <w:vAlign w:val="bottom"/>
            <w:gridSpan w:val="2"/>
          </w:tcPr>
          <w:p>
            <w:pPr>
              <w:jc w:val="right"/>
              <w:ind w:right="160"/>
              <w:spacing w:after="0" w:line="113" w:lineRule="exact"/>
              <w:rPr>
                <w:sz w:val="20"/>
                <w:szCs w:val="20"/>
                <w:color w:val="auto"/>
              </w:rPr>
            </w:pPr>
            <w:r>
              <w:rPr>
                <w:rFonts w:ascii="Times New Roman" w:cs="Times New Roman" w:eastAsia="Times New Roman" w:hAnsi="Times New Roman"/>
                <w:sz w:val="12"/>
                <w:szCs w:val="12"/>
                <w:b w:val="1"/>
                <w:bCs w:val="1"/>
                <w:color w:val="auto"/>
              </w:rPr>
              <w:t>Shares</w:t>
            </w:r>
          </w:p>
        </w:tc>
        <w:tc>
          <w:tcPr>
            <w:tcW w:w="660" w:type="dxa"/>
            <w:vAlign w:val="bottom"/>
            <w:gridSpan w:val="3"/>
          </w:tcPr>
          <w:p>
            <w:pPr>
              <w:ind w:left="60"/>
              <w:spacing w:after="0" w:line="113" w:lineRule="exact"/>
              <w:rPr>
                <w:sz w:val="20"/>
                <w:szCs w:val="20"/>
                <w:color w:val="auto"/>
              </w:rPr>
            </w:pPr>
            <w:r>
              <w:rPr>
                <w:rFonts w:ascii="Times New Roman" w:cs="Times New Roman" w:eastAsia="Times New Roman" w:hAnsi="Times New Roman"/>
                <w:sz w:val="12"/>
                <w:szCs w:val="12"/>
                <w:b w:val="1"/>
                <w:bCs w:val="1"/>
                <w:color w:val="auto"/>
              </w:rPr>
              <w:t>Amount</w:t>
            </w:r>
          </w:p>
        </w:tc>
        <w:tc>
          <w:tcPr>
            <w:tcW w:w="960" w:type="dxa"/>
            <w:vAlign w:val="bottom"/>
            <w:gridSpan w:val="2"/>
          </w:tcPr>
          <w:p>
            <w:pPr>
              <w:jc w:val="center"/>
              <w:ind w:right="100"/>
              <w:spacing w:after="0" w:line="113" w:lineRule="exact"/>
              <w:rPr>
                <w:sz w:val="20"/>
                <w:szCs w:val="20"/>
                <w:color w:val="auto"/>
              </w:rPr>
            </w:pPr>
            <w:r>
              <w:rPr>
                <w:rFonts w:ascii="Times New Roman" w:cs="Times New Roman" w:eastAsia="Times New Roman" w:hAnsi="Times New Roman"/>
                <w:sz w:val="12"/>
                <w:szCs w:val="12"/>
                <w:b w:val="1"/>
                <w:bCs w:val="1"/>
                <w:color w:val="auto"/>
              </w:rPr>
              <w:t>Inc. Shares</w:t>
            </w:r>
          </w:p>
        </w:tc>
        <w:tc>
          <w:tcPr>
            <w:tcW w:w="680" w:type="dxa"/>
            <w:vAlign w:val="bottom"/>
            <w:gridSpan w:val="3"/>
          </w:tcPr>
          <w:p>
            <w:pPr>
              <w:ind w:left="60"/>
              <w:spacing w:after="0" w:line="113" w:lineRule="exact"/>
              <w:rPr>
                <w:sz w:val="20"/>
                <w:szCs w:val="20"/>
                <w:color w:val="auto"/>
              </w:rPr>
            </w:pPr>
            <w:r>
              <w:rPr>
                <w:rFonts w:ascii="Times New Roman" w:cs="Times New Roman" w:eastAsia="Times New Roman" w:hAnsi="Times New Roman"/>
                <w:sz w:val="12"/>
                <w:szCs w:val="12"/>
                <w:b w:val="1"/>
                <w:bCs w:val="1"/>
                <w:color w:val="auto"/>
              </w:rPr>
              <w:t>Amount</w:t>
            </w:r>
          </w:p>
        </w:tc>
        <w:tc>
          <w:tcPr>
            <w:tcW w:w="780" w:type="dxa"/>
            <w:vAlign w:val="bottom"/>
          </w:tcPr>
          <w:p>
            <w:pPr>
              <w:jc w:val="right"/>
              <w:ind w:right="158"/>
              <w:spacing w:after="0" w:line="113" w:lineRule="exact"/>
              <w:rPr>
                <w:sz w:val="20"/>
                <w:szCs w:val="20"/>
                <w:color w:val="auto"/>
              </w:rPr>
            </w:pPr>
            <w:r>
              <w:rPr>
                <w:rFonts w:ascii="Times New Roman" w:cs="Times New Roman" w:eastAsia="Times New Roman" w:hAnsi="Times New Roman"/>
                <w:sz w:val="12"/>
                <w:szCs w:val="12"/>
                <w:b w:val="1"/>
                <w:bCs w:val="1"/>
                <w:color w:val="auto"/>
              </w:rPr>
              <w:t>Shares</w:t>
            </w:r>
          </w:p>
        </w:tc>
        <w:tc>
          <w:tcPr>
            <w:tcW w:w="80" w:type="dxa"/>
            <w:vAlign w:val="bottom"/>
          </w:tcPr>
          <w:p>
            <w:pPr>
              <w:spacing w:after="0"/>
              <w:rPr>
                <w:sz w:val="9"/>
                <w:szCs w:val="9"/>
                <w:color w:val="auto"/>
              </w:rPr>
            </w:pPr>
          </w:p>
        </w:tc>
        <w:tc>
          <w:tcPr>
            <w:tcW w:w="680" w:type="dxa"/>
            <w:vAlign w:val="bottom"/>
            <w:gridSpan w:val="3"/>
          </w:tcPr>
          <w:p>
            <w:pPr>
              <w:ind w:left="60"/>
              <w:spacing w:after="0" w:line="113" w:lineRule="exact"/>
              <w:rPr>
                <w:sz w:val="20"/>
                <w:szCs w:val="20"/>
                <w:color w:val="auto"/>
              </w:rPr>
            </w:pPr>
            <w:r>
              <w:rPr>
                <w:rFonts w:ascii="Times New Roman" w:cs="Times New Roman" w:eastAsia="Times New Roman" w:hAnsi="Times New Roman"/>
                <w:sz w:val="12"/>
                <w:szCs w:val="12"/>
                <w:b w:val="1"/>
                <w:bCs w:val="1"/>
                <w:color w:val="auto"/>
              </w:rPr>
              <w:t>Amount</w:t>
            </w:r>
          </w:p>
        </w:tc>
        <w:tc>
          <w:tcPr>
            <w:tcW w:w="60" w:type="dxa"/>
            <w:vAlign w:val="bottom"/>
          </w:tcPr>
          <w:p>
            <w:pPr>
              <w:spacing w:after="0"/>
              <w:rPr>
                <w:sz w:val="9"/>
                <w:szCs w:val="9"/>
                <w:color w:val="auto"/>
              </w:rPr>
            </w:pPr>
          </w:p>
        </w:tc>
        <w:tc>
          <w:tcPr>
            <w:tcW w:w="680" w:type="dxa"/>
            <w:vAlign w:val="bottom"/>
            <w:gridSpan w:val="2"/>
          </w:tcPr>
          <w:p>
            <w:pPr>
              <w:ind w:left="100"/>
              <w:spacing w:after="0" w:line="113" w:lineRule="exact"/>
              <w:rPr>
                <w:sz w:val="20"/>
                <w:szCs w:val="20"/>
                <w:color w:val="auto"/>
              </w:rPr>
            </w:pPr>
            <w:r>
              <w:rPr>
                <w:rFonts w:ascii="Times New Roman" w:cs="Times New Roman" w:eastAsia="Times New Roman" w:hAnsi="Times New Roman"/>
                <w:sz w:val="12"/>
                <w:szCs w:val="12"/>
                <w:b w:val="1"/>
                <w:bCs w:val="1"/>
                <w:color w:val="auto"/>
              </w:rPr>
              <w:t>Stock</w:t>
            </w:r>
          </w:p>
        </w:tc>
        <w:tc>
          <w:tcPr>
            <w:tcW w:w="100" w:type="dxa"/>
            <w:vAlign w:val="bottom"/>
          </w:tcPr>
          <w:p>
            <w:pPr>
              <w:spacing w:after="0"/>
              <w:rPr>
                <w:sz w:val="9"/>
                <w:szCs w:val="9"/>
                <w:color w:val="auto"/>
              </w:rPr>
            </w:pPr>
          </w:p>
        </w:tc>
        <w:tc>
          <w:tcPr>
            <w:tcW w:w="640" w:type="dxa"/>
            <w:vAlign w:val="bottom"/>
            <w:gridSpan w:val="2"/>
          </w:tcPr>
          <w:p>
            <w:pPr>
              <w:jc w:val="center"/>
              <w:ind w:right="220"/>
              <w:spacing w:after="0" w:line="113" w:lineRule="exact"/>
              <w:rPr>
                <w:sz w:val="20"/>
                <w:szCs w:val="20"/>
                <w:color w:val="auto"/>
              </w:rPr>
            </w:pPr>
            <w:r>
              <w:rPr>
                <w:rFonts w:ascii="Times New Roman" w:cs="Times New Roman" w:eastAsia="Times New Roman" w:hAnsi="Times New Roman"/>
                <w:sz w:val="12"/>
                <w:szCs w:val="12"/>
                <w:b w:val="1"/>
                <w:bCs w:val="1"/>
                <w:color w:val="auto"/>
                <w:w w:val="99"/>
              </w:rPr>
              <w:t>Capital</w:t>
            </w:r>
          </w:p>
        </w:tc>
        <w:tc>
          <w:tcPr>
            <w:tcW w:w="100" w:type="dxa"/>
            <w:vAlign w:val="bottom"/>
          </w:tcPr>
          <w:p>
            <w:pPr>
              <w:spacing w:after="0"/>
              <w:rPr>
                <w:sz w:val="9"/>
                <w:szCs w:val="9"/>
                <w:color w:val="auto"/>
              </w:rPr>
            </w:pPr>
          </w:p>
        </w:tc>
        <w:tc>
          <w:tcPr>
            <w:tcW w:w="780" w:type="dxa"/>
            <w:vAlign w:val="bottom"/>
            <w:gridSpan w:val="2"/>
          </w:tcPr>
          <w:p>
            <w:pPr>
              <w:jc w:val="center"/>
              <w:ind w:right="220"/>
              <w:spacing w:after="0" w:line="113" w:lineRule="exact"/>
              <w:rPr>
                <w:sz w:val="20"/>
                <w:szCs w:val="20"/>
                <w:color w:val="auto"/>
              </w:rPr>
            </w:pPr>
            <w:r>
              <w:rPr>
                <w:rFonts w:ascii="Times New Roman" w:cs="Times New Roman" w:eastAsia="Times New Roman" w:hAnsi="Times New Roman"/>
                <w:sz w:val="12"/>
                <w:szCs w:val="12"/>
                <w:b w:val="1"/>
                <w:bCs w:val="1"/>
                <w:color w:val="auto"/>
              </w:rPr>
              <w:t>Deficit)</w:t>
            </w:r>
          </w:p>
        </w:tc>
        <w:tc>
          <w:tcPr>
            <w:tcW w:w="960" w:type="dxa"/>
            <w:vAlign w:val="bottom"/>
            <w:gridSpan w:val="3"/>
          </w:tcPr>
          <w:p>
            <w:pPr>
              <w:jc w:val="center"/>
              <w:ind w:right="120"/>
              <w:spacing w:after="0" w:line="113" w:lineRule="exact"/>
              <w:rPr>
                <w:sz w:val="20"/>
                <w:szCs w:val="20"/>
                <w:color w:val="auto"/>
              </w:rPr>
            </w:pPr>
            <w:r>
              <w:rPr>
                <w:rFonts w:ascii="Times New Roman" w:cs="Times New Roman" w:eastAsia="Times New Roman" w:hAnsi="Times New Roman"/>
                <w:sz w:val="12"/>
                <w:szCs w:val="12"/>
                <w:b w:val="1"/>
                <w:bCs w:val="1"/>
                <w:color w:val="auto"/>
              </w:rPr>
              <w:t>Income (Loss)</w:t>
            </w:r>
          </w:p>
        </w:tc>
        <w:tc>
          <w:tcPr>
            <w:tcW w:w="120" w:type="dxa"/>
            <w:vAlign w:val="bottom"/>
          </w:tcPr>
          <w:p>
            <w:pPr>
              <w:spacing w:after="0"/>
              <w:rPr>
                <w:sz w:val="9"/>
                <w:szCs w:val="9"/>
                <w:color w:val="auto"/>
              </w:rPr>
            </w:pPr>
          </w:p>
        </w:tc>
        <w:tc>
          <w:tcPr>
            <w:tcW w:w="740" w:type="dxa"/>
            <w:vAlign w:val="bottom"/>
            <w:gridSpan w:val="2"/>
          </w:tcPr>
          <w:p>
            <w:pPr>
              <w:jc w:val="center"/>
              <w:ind w:right="240"/>
              <w:spacing w:after="0" w:line="113" w:lineRule="exact"/>
              <w:rPr>
                <w:sz w:val="20"/>
                <w:szCs w:val="20"/>
                <w:color w:val="auto"/>
              </w:rPr>
            </w:pPr>
            <w:r>
              <w:rPr>
                <w:rFonts w:ascii="Times New Roman" w:cs="Times New Roman" w:eastAsia="Times New Roman" w:hAnsi="Times New Roman"/>
                <w:sz w:val="12"/>
                <w:szCs w:val="12"/>
                <w:b w:val="1"/>
                <w:bCs w:val="1"/>
                <w:color w:val="auto"/>
                <w:w w:val="97"/>
              </w:rPr>
              <w:t>Equity</w:t>
            </w:r>
          </w:p>
        </w:tc>
        <w:tc>
          <w:tcPr>
            <w:tcW w:w="80" w:type="dxa"/>
            <w:vAlign w:val="bottom"/>
          </w:tcPr>
          <w:p>
            <w:pPr>
              <w:spacing w:after="0"/>
              <w:rPr>
                <w:sz w:val="9"/>
                <w:szCs w:val="9"/>
                <w:color w:val="auto"/>
              </w:rPr>
            </w:pPr>
          </w:p>
        </w:tc>
        <w:tc>
          <w:tcPr>
            <w:tcW w:w="660" w:type="dxa"/>
            <w:vAlign w:val="bottom"/>
            <w:gridSpan w:val="2"/>
          </w:tcPr>
          <w:p>
            <w:pPr>
              <w:ind w:left="20"/>
              <w:spacing w:after="0" w:line="113" w:lineRule="exact"/>
              <w:rPr>
                <w:sz w:val="20"/>
                <w:szCs w:val="20"/>
                <w:color w:val="auto"/>
              </w:rPr>
            </w:pPr>
            <w:r>
              <w:rPr>
                <w:rFonts w:ascii="Times New Roman" w:cs="Times New Roman" w:eastAsia="Times New Roman" w:hAnsi="Times New Roman"/>
                <w:sz w:val="12"/>
                <w:szCs w:val="12"/>
                <w:b w:val="1"/>
                <w:bCs w:val="1"/>
                <w:color w:val="auto"/>
              </w:rPr>
              <w:t>Interest</w:t>
            </w:r>
          </w:p>
        </w:tc>
        <w:tc>
          <w:tcPr>
            <w:tcW w:w="140" w:type="dxa"/>
            <w:vAlign w:val="bottom"/>
          </w:tcPr>
          <w:p>
            <w:pPr>
              <w:spacing w:after="0"/>
              <w:rPr>
                <w:sz w:val="9"/>
                <w:szCs w:val="9"/>
                <w:color w:val="auto"/>
              </w:rPr>
            </w:pPr>
          </w:p>
        </w:tc>
        <w:tc>
          <w:tcPr>
            <w:tcW w:w="620" w:type="dxa"/>
            <w:vAlign w:val="bottom"/>
          </w:tcPr>
          <w:p>
            <w:pPr>
              <w:jc w:val="right"/>
              <w:ind w:right="138"/>
              <w:spacing w:after="0" w:line="113" w:lineRule="exact"/>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20"/>
        </w:trPr>
        <w:tc>
          <w:tcPr>
            <w:tcW w:w="58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1080" w:type="dxa"/>
            <w:vAlign w:val="bottom"/>
            <w:gridSpan w:val="3"/>
            <w:shd w:val="clear" w:color="auto" w:fill="CCEEFF"/>
          </w:tcPr>
          <w:p>
            <w:pPr>
              <w:spacing w:after="0" w:line="121" w:lineRule="exact"/>
              <w:rPr>
                <w:sz w:val="20"/>
                <w:szCs w:val="20"/>
                <w:color w:val="auto"/>
              </w:rPr>
            </w:pPr>
            <w:r>
              <w:rPr>
                <w:rFonts w:ascii="Times New Roman" w:cs="Times New Roman" w:eastAsia="Times New Roman" w:hAnsi="Times New Roman"/>
                <w:sz w:val="12"/>
                <w:szCs w:val="12"/>
                <w:color w:val="auto"/>
              </w:rPr>
              <w:t>Balance as of</w:t>
            </w: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January 1, 2026</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rPr>
              <w:t>132,584,258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379,821</w:t>
            </w:r>
          </w:p>
        </w:tc>
        <w:tc>
          <w:tcPr>
            <w:tcW w:w="32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(1,137.2)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4,652.8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(1,490.1)</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(193.3)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1,834.0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(6.5)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1,827.5</w:t>
            </w:r>
          </w:p>
        </w:tc>
        <w:tc>
          <w:tcPr>
            <w:tcW w:w="0" w:type="dxa"/>
            <w:vAlign w:val="bottom"/>
          </w:tcPr>
          <w:p>
            <w:pPr>
              <w:spacing w:after="0"/>
              <w:rPr>
                <w:sz w:val="1"/>
                <w:szCs w:val="1"/>
                <w:color w:val="auto"/>
              </w:rPr>
            </w:pPr>
          </w:p>
        </w:tc>
      </w:tr>
      <w:tr>
        <w:trPr>
          <w:trHeight w:val="141"/>
        </w:trPr>
        <w:tc>
          <w:tcPr>
            <w:tcW w:w="1080" w:type="dxa"/>
            <w:vAlign w:val="bottom"/>
            <w:gridSpan w:val="3"/>
          </w:tcPr>
          <w:p>
            <w:pPr>
              <w:ind w:left="120"/>
              <w:spacing w:after="0"/>
              <w:rPr>
                <w:sz w:val="20"/>
                <w:szCs w:val="20"/>
                <w:color w:val="auto"/>
              </w:rPr>
            </w:pPr>
            <w:r>
              <w:rPr>
                <w:rFonts w:ascii="Times New Roman" w:cs="Times New Roman" w:eastAsia="Times New Roman" w:hAnsi="Times New Roman"/>
                <w:sz w:val="12"/>
                <w:szCs w:val="12"/>
                <w:color w:val="auto"/>
              </w:rPr>
              <w:t>Share-based</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080" w:type="dxa"/>
            <w:vAlign w:val="bottom"/>
            <w:gridSpan w:val="3"/>
          </w:tcPr>
          <w:p>
            <w:pPr>
              <w:ind w:left="120"/>
              <w:spacing w:after="0" w:line="125" w:lineRule="exact"/>
              <w:rPr>
                <w:sz w:val="20"/>
                <w:szCs w:val="20"/>
                <w:color w:val="auto"/>
              </w:rPr>
            </w:pPr>
            <w:r>
              <w:rPr>
                <w:rFonts w:ascii="Times New Roman" w:cs="Times New Roman" w:eastAsia="Times New Roman" w:hAnsi="Times New Roman"/>
                <w:sz w:val="12"/>
                <w:szCs w:val="12"/>
                <w:color w:val="auto"/>
              </w:rPr>
              <w:t>compensation</w:t>
            </w:r>
          </w:p>
        </w:tc>
        <w:tc>
          <w:tcPr>
            <w:tcW w:w="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0"/>
                <w:szCs w:val="10"/>
                <w:color w:val="auto"/>
              </w:rPr>
            </w:pPr>
          </w:p>
        </w:tc>
        <w:tc>
          <w:tcPr>
            <w:tcW w:w="4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vMerge w:val="restart"/>
          </w:tcPr>
          <w:p>
            <w:pPr>
              <w:jc w:val="right"/>
              <w:ind w:right="18"/>
              <w:spacing w:after="0"/>
              <w:rPr>
                <w:sz w:val="20"/>
                <w:szCs w:val="20"/>
                <w:color w:val="auto"/>
              </w:rPr>
            </w:pPr>
            <w:r>
              <w:rPr>
                <w:rFonts w:ascii="Times New Roman" w:cs="Times New Roman" w:eastAsia="Times New Roman" w:hAnsi="Times New Roman"/>
                <w:sz w:val="12"/>
                <w:szCs w:val="12"/>
                <w:color w:val="auto"/>
              </w:rPr>
              <w:t>1,206,016</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47.2</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47.2</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47.2</w:t>
            </w:r>
          </w:p>
        </w:tc>
        <w:tc>
          <w:tcPr>
            <w:tcW w:w="0" w:type="dxa"/>
            <w:vAlign w:val="bottom"/>
          </w:tcPr>
          <w:p>
            <w:pPr>
              <w:spacing w:after="0"/>
              <w:rPr>
                <w:sz w:val="1"/>
                <w:szCs w:val="1"/>
                <w:color w:val="auto"/>
              </w:rPr>
            </w:pPr>
          </w:p>
        </w:tc>
      </w:tr>
      <w:tr>
        <w:trPr>
          <w:trHeight w:val="167"/>
        </w:trPr>
        <w:tc>
          <w:tcPr>
            <w:tcW w:w="1080" w:type="dxa"/>
            <w:vAlign w:val="bottom"/>
            <w:gridSpan w:val="3"/>
          </w:tcPr>
          <w:p>
            <w:pPr>
              <w:ind w:left="120"/>
              <w:spacing w:after="0"/>
              <w:rPr>
                <w:sz w:val="20"/>
                <w:szCs w:val="20"/>
                <w:color w:val="auto"/>
              </w:rPr>
            </w:pPr>
            <w:r>
              <w:rPr>
                <w:rFonts w:ascii="Times New Roman" w:cs="Times New Roman" w:eastAsia="Times New Roman" w:hAnsi="Times New Roman"/>
                <w:sz w:val="12"/>
                <w:szCs w:val="12"/>
                <w:color w:val="auto"/>
              </w:rPr>
              <w:t>arrangements</w:t>
            </w:r>
          </w:p>
        </w:tc>
        <w:tc>
          <w:tcPr>
            <w:tcW w:w="5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0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Exchangeable</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0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share conversions</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5"/>
                <w:szCs w:val="15"/>
                <w:color w:val="auto"/>
              </w:rPr>
            </w:pPr>
          </w:p>
        </w:tc>
        <w:tc>
          <w:tcPr>
            <w:tcW w:w="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rPr>
              <w:t>280,901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(280,901)</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1"/>
        </w:trPr>
        <w:tc>
          <w:tcPr>
            <w:tcW w:w="108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Currency</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080" w:type="dxa"/>
            <w:vAlign w:val="bottom"/>
            <w:gridSpan w:val="3"/>
          </w:tcPr>
          <w:p>
            <w:pPr>
              <w:ind w:left="100"/>
              <w:spacing w:after="0" w:line="125" w:lineRule="exact"/>
              <w:rPr>
                <w:sz w:val="20"/>
                <w:szCs w:val="20"/>
                <w:color w:val="auto"/>
              </w:rPr>
            </w:pPr>
            <w:r>
              <w:rPr>
                <w:rFonts w:ascii="Times New Roman" w:cs="Times New Roman" w:eastAsia="Times New Roman" w:hAnsi="Times New Roman"/>
                <w:sz w:val="12"/>
                <w:szCs w:val="12"/>
                <w:color w:val="auto"/>
              </w:rPr>
              <w:t>translation</w:t>
            </w:r>
          </w:p>
        </w:tc>
        <w:tc>
          <w:tcPr>
            <w:tcW w:w="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0"/>
                <w:szCs w:val="10"/>
                <w:color w:val="auto"/>
              </w:rPr>
            </w:pPr>
          </w:p>
        </w:tc>
        <w:tc>
          <w:tcPr>
            <w:tcW w:w="4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(29.0)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(29.0)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(29.0)</w:t>
            </w:r>
          </w:p>
        </w:tc>
        <w:tc>
          <w:tcPr>
            <w:tcW w:w="0" w:type="dxa"/>
            <w:vAlign w:val="bottom"/>
          </w:tcPr>
          <w:p>
            <w:pPr>
              <w:spacing w:after="0"/>
              <w:rPr>
                <w:sz w:val="1"/>
                <w:szCs w:val="1"/>
                <w:color w:val="auto"/>
              </w:rPr>
            </w:pPr>
          </w:p>
        </w:tc>
      </w:tr>
      <w:tr>
        <w:trPr>
          <w:trHeight w:val="167"/>
        </w:trPr>
        <w:tc>
          <w:tcPr>
            <w:tcW w:w="108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adjustment</w:t>
            </w:r>
          </w:p>
        </w:tc>
        <w:tc>
          <w:tcPr>
            <w:tcW w:w="5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0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Net income (loss)</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63.8</w:t>
            </w: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63.8</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(1.4)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62.4</w:t>
            </w:r>
          </w:p>
        </w:tc>
        <w:tc>
          <w:tcPr>
            <w:tcW w:w="0" w:type="dxa"/>
            <w:vAlign w:val="bottom"/>
          </w:tcPr>
          <w:p>
            <w:pPr>
              <w:spacing w:after="0"/>
              <w:rPr>
                <w:sz w:val="1"/>
                <w:szCs w:val="1"/>
                <w:color w:val="auto"/>
              </w:rPr>
            </w:pPr>
          </w:p>
        </w:tc>
      </w:tr>
      <w:tr>
        <w:trPr>
          <w:trHeight w:val="179"/>
        </w:trPr>
        <w:tc>
          <w:tcPr>
            <w:tcW w:w="1080" w:type="dxa"/>
            <w:vAlign w:val="bottom"/>
            <w:tcBorders>
              <w:bottom w:val="single" w:sz="8" w:color="CCEEFF"/>
            </w:tcBorders>
            <w:gridSpan w:val="3"/>
          </w:tcPr>
          <w:p>
            <w:pPr>
              <w:ind w:left="100"/>
              <w:spacing w:after="0"/>
              <w:rPr>
                <w:sz w:val="20"/>
                <w:szCs w:val="20"/>
                <w:color w:val="auto"/>
              </w:rPr>
            </w:pPr>
            <w:r>
              <w:rPr>
                <w:rFonts w:ascii="Times New Roman" w:cs="Times New Roman" w:eastAsia="Times New Roman" w:hAnsi="Times New Roman"/>
                <w:sz w:val="12"/>
                <w:szCs w:val="12"/>
                <w:color w:val="auto"/>
              </w:rPr>
              <w:t>Other</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(10.9)</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(10.9)</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(10.9)</w:t>
            </w:r>
          </w:p>
        </w:tc>
        <w:tc>
          <w:tcPr>
            <w:tcW w:w="0" w:type="dxa"/>
            <w:vAlign w:val="bottom"/>
          </w:tcPr>
          <w:p>
            <w:pPr>
              <w:spacing w:after="0"/>
              <w:rPr>
                <w:sz w:val="1"/>
                <w:szCs w:val="1"/>
                <w:color w:val="auto"/>
              </w:rPr>
            </w:pPr>
          </w:p>
        </w:tc>
      </w:tr>
      <w:tr>
        <w:trPr>
          <w:trHeight w:val="128"/>
        </w:trPr>
        <w:tc>
          <w:tcPr>
            <w:tcW w:w="1080" w:type="dxa"/>
            <w:vAlign w:val="bottom"/>
            <w:gridSpan w:val="3"/>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Balance as of</w:t>
            </w:r>
          </w:p>
        </w:tc>
        <w:tc>
          <w:tcPr>
            <w:tcW w:w="5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vMerge w:val="restart"/>
            <w:shd w:val="clear" w:color="auto" w:fill="CCEEFF"/>
          </w:tcPr>
          <w:p>
            <w:pPr>
              <w:jc w:val="right"/>
              <w:ind w:right="102"/>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rPr>
              <w:t>134,071,175</w:t>
            </w:r>
          </w:p>
        </w:tc>
        <w:tc>
          <w:tcPr>
            <w:tcW w:w="8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1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rPr>
              <w:t>98,920</w:t>
            </w:r>
          </w:p>
        </w:tc>
        <w:tc>
          <w:tcPr>
            <w:tcW w:w="320" w:type="dxa"/>
            <w:vAlign w:val="bottom"/>
            <w:gridSpan w:val="2"/>
            <w:vMerge w:val="restart"/>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(1,137.2)</w:t>
            </w:r>
          </w:p>
        </w:tc>
        <w:tc>
          <w:tcPr>
            <w:tcW w:w="10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4,689.1</w:t>
            </w:r>
          </w:p>
        </w:tc>
        <w:tc>
          <w:tcPr>
            <w:tcW w:w="10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(1,426.3)</w:t>
            </w:r>
          </w:p>
        </w:tc>
        <w:tc>
          <w:tcPr>
            <w:tcW w:w="100" w:type="dxa"/>
            <w:vAlign w:val="bottom"/>
            <w:shd w:val="clear" w:color="auto" w:fill="CCEEFF"/>
          </w:tcPr>
          <w:p>
            <w:pPr>
              <w:spacing w:after="0"/>
              <w:rPr>
                <w:sz w:val="11"/>
                <w:szCs w:val="11"/>
                <w:color w:val="auto"/>
              </w:rPr>
            </w:pP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(222.3)</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1,905.1</w:t>
            </w:r>
          </w:p>
        </w:tc>
        <w:tc>
          <w:tcPr>
            <w:tcW w:w="100" w:type="dxa"/>
            <w:vAlign w:val="bottom"/>
            <w:shd w:val="clear" w:color="auto" w:fill="CCEEFF"/>
          </w:tcPr>
          <w:p>
            <w:pPr>
              <w:spacing w:after="0"/>
              <w:rPr>
                <w:sz w:val="11"/>
                <w:szCs w:val="11"/>
                <w:color w:val="auto"/>
              </w:rPr>
            </w:pP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vMerge w:val="restart"/>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(7.9)</w:t>
            </w:r>
          </w:p>
        </w:tc>
        <w:tc>
          <w:tcPr>
            <w:tcW w:w="10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1,897.2</w:t>
            </w:r>
          </w:p>
        </w:tc>
        <w:tc>
          <w:tcPr>
            <w:tcW w:w="0" w:type="dxa"/>
            <w:vAlign w:val="bottom"/>
          </w:tcPr>
          <w:p>
            <w:pPr>
              <w:spacing w:after="0"/>
              <w:rPr>
                <w:sz w:val="1"/>
                <w:szCs w:val="1"/>
                <w:color w:val="auto"/>
              </w:rPr>
            </w:pPr>
          </w:p>
        </w:tc>
      </w:tr>
      <w:tr>
        <w:trPr>
          <w:trHeight w:val="171"/>
        </w:trPr>
        <w:tc>
          <w:tcPr>
            <w:tcW w:w="1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September 30, 2026</w:t>
            </w:r>
          </w:p>
        </w:tc>
        <w:tc>
          <w:tcPr>
            <w:tcW w:w="580" w:type="dxa"/>
            <w:vAlign w:val="bottom"/>
            <w:gridSpan w:val="2"/>
            <w:vMerge w:val="continue"/>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320" w:type="dxa"/>
            <w:vAlign w:val="bottom"/>
            <w:gridSpan w:val="2"/>
            <w:vMerge w:val="continue"/>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60" w:type="dxa"/>
            <w:vAlign w:val="bottom"/>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1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as of</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January 1, 2025</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rPr>
              <w:t>152,229,171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466,534</w:t>
            </w:r>
          </w:p>
        </w:tc>
        <w:tc>
          <w:tcPr>
            <w:tcW w:w="32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(779.5)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4,542.4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(647.0)</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(255.0)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2,862.7</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(4.3)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2,858.4</w:t>
            </w:r>
          </w:p>
        </w:tc>
        <w:tc>
          <w:tcPr>
            <w:tcW w:w="0" w:type="dxa"/>
            <w:vAlign w:val="bottom"/>
          </w:tcPr>
          <w:p>
            <w:pPr>
              <w:spacing w:after="0"/>
              <w:rPr>
                <w:sz w:val="1"/>
                <w:szCs w:val="1"/>
                <w:color w:val="auto"/>
              </w:rPr>
            </w:pPr>
          </w:p>
        </w:tc>
      </w:tr>
      <w:tr>
        <w:trPr>
          <w:trHeight w:val="141"/>
        </w:trPr>
        <w:tc>
          <w:tcPr>
            <w:tcW w:w="1080" w:type="dxa"/>
            <w:vAlign w:val="bottom"/>
            <w:gridSpan w:val="3"/>
          </w:tcPr>
          <w:p>
            <w:pPr>
              <w:ind w:left="120"/>
              <w:spacing w:after="0"/>
              <w:rPr>
                <w:sz w:val="20"/>
                <w:szCs w:val="20"/>
                <w:color w:val="auto"/>
              </w:rPr>
            </w:pPr>
            <w:r>
              <w:rPr>
                <w:rFonts w:ascii="Times New Roman" w:cs="Times New Roman" w:eastAsia="Times New Roman" w:hAnsi="Times New Roman"/>
                <w:sz w:val="12"/>
                <w:szCs w:val="12"/>
                <w:color w:val="auto"/>
              </w:rPr>
              <w:t>Share-based</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080" w:type="dxa"/>
            <w:vAlign w:val="bottom"/>
            <w:gridSpan w:val="3"/>
          </w:tcPr>
          <w:p>
            <w:pPr>
              <w:ind w:left="120"/>
              <w:spacing w:after="0" w:line="125" w:lineRule="exact"/>
              <w:rPr>
                <w:sz w:val="20"/>
                <w:szCs w:val="20"/>
                <w:color w:val="auto"/>
              </w:rPr>
            </w:pPr>
            <w:r>
              <w:rPr>
                <w:rFonts w:ascii="Times New Roman" w:cs="Times New Roman" w:eastAsia="Times New Roman" w:hAnsi="Times New Roman"/>
                <w:sz w:val="12"/>
                <w:szCs w:val="12"/>
                <w:color w:val="auto"/>
              </w:rPr>
              <w:t>compensation</w:t>
            </w:r>
          </w:p>
        </w:tc>
        <w:tc>
          <w:tcPr>
            <w:tcW w:w="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0"/>
                <w:szCs w:val="10"/>
                <w:color w:val="auto"/>
              </w:rPr>
            </w:pPr>
          </w:p>
        </w:tc>
        <w:tc>
          <w:tcPr>
            <w:tcW w:w="4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vMerge w:val="restart"/>
          </w:tcPr>
          <w:p>
            <w:pPr>
              <w:jc w:val="right"/>
              <w:ind w:right="18"/>
              <w:spacing w:after="0"/>
              <w:rPr>
                <w:sz w:val="20"/>
                <w:szCs w:val="20"/>
                <w:color w:val="auto"/>
              </w:rPr>
            </w:pPr>
            <w:r>
              <w:rPr>
                <w:rFonts w:ascii="Times New Roman" w:cs="Times New Roman" w:eastAsia="Times New Roman" w:hAnsi="Times New Roman"/>
                <w:sz w:val="12"/>
                <w:szCs w:val="12"/>
                <w:color w:val="auto"/>
              </w:rPr>
              <w:t>618,060</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48.5</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48.5</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48.5</w:t>
            </w:r>
          </w:p>
        </w:tc>
        <w:tc>
          <w:tcPr>
            <w:tcW w:w="0" w:type="dxa"/>
            <w:vAlign w:val="bottom"/>
          </w:tcPr>
          <w:p>
            <w:pPr>
              <w:spacing w:after="0"/>
              <w:rPr>
                <w:sz w:val="1"/>
                <w:szCs w:val="1"/>
                <w:color w:val="auto"/>
              </w:rPr>
            </w:pPr>
          </w:p>
        </w:tc>
      </w:tr>
      <w:tr>
        <w:trPr>
          <w:trHeight w:val="167"/>
        </w:trPr>
        <w:tc>
          <w:tcPr>
            <w:tcW w:w="1080" w:type="dxa"/>
            <w:vAlign w:val="bottom"/>
            <w:gridSpan w:val="3"/>
          </w:tcPr>
          <w:p>
            <w:pPr>
              <w:ind w:left="120"/>
              <w:spacing w:after="0"/>
              <w:rPr>
                <w:sz w:val="20"/>
                <w:szCs w:val="20"/>
                <w:color w:val="auto"/>
              </w:rPr>
            </w:pPr>
            <w:r>
              <w:rPr>
                <w:rFonts w:ascii="Times New Roman" w:cs="Times New Roman" w:eastAsia="Times New Roman" w:hAnsi="Times New Roman"/>
                <w:sz w:val="12"/>
                <w:szCs w:val="12"/>
                <w:color w:val="auto"/>
              </w:rPr>
              <w:t>arrangements</w:t>
            </w:r>
          </w:p>
        </w:tc>
        <w:tc>
          <w:tcPr>
            <w:tcW w:w="5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0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Share repurchases</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(15,214,631)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(269.4)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(269.4)</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(269.4)</w:t>
            </w:r>
          </w:p>
        </w:tc>
        <w:tc>
          <w:tcPr>
            <w:tcW w:w="0" w:type="dxa"/>
            <w:vAlign w:val="bottom"/>
          </w:tcPr>
          <w:p>
            <w:pPr>
              <w:spacing w:after="0"/>
              <w:rPr>
                <w:sz w:val="1"/>
                <w:szCs w:val="1"/>
                <w:color w:val="auto"/>
              </w:rPr>
            </w:pPr>
          </w:p>
        </w:tc>
      </w:tr>
      <w:tr>
        <w:trPr>
          <w:trHeight w:val="141"/>
        </w:trPr>
        <w:tc>
          <w:tcPr>
            <w:tcW w:w="108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Exchangeable</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08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share conversions</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auto"/>
              </w:rPr>
              <w:t>86,593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(86,593)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660" w:type="dxa"/>
            <w:vAlign w:val="bottom"/>
            <w:gridSpan w:val="2"/>
          </w:tcPr>
          <w:p>
            <w:pPr>
              <w:ind w:left="3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0"/>
        </w:trPr>
        <w:tc>
          <w:tcPr>
            <w:tcW w:w="10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Investment</w:t>
            </w: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080" w:type="dxa"/>
            <w:vAlign w:val="bottom"/>
            <w:gridSpan w:val="3"/>
            <w:shd w:val="clear" w:color="auto" w:fill="CCEEFF"/>
          </w:tcPr>
          <w:p>
            <w:pPr>
              <w:ind w:left="120"/>
              <w:spacing w:after="0" w:line="125" w:lineRule="exact"/>
              <w:rPr>
                <w:sz w:val="20"/>
                <w:szCs w:val="20"/>
                <w:color w:val="auto"/>
              </w:rPr>
            </w:pPr>
            <w:r>
              <w:rPr>
                <w:rFonts w:ascii="Times New Roman" w:cs="Times New Roman" w:eastAsia="Times New Roman" w:hAnsi="Times New Roman"/>
                <w:sz w:val="12"/>
                <w:szCs w:val="12"/>
                <w:color w:val="auto"/>
              </w:rPr>
              <w:t>Agreement</w:t>
            </w:r>
          </w:p>
        </w:tc>
        <w:tc>
          <w:tcPr>
            <w:tcW w:w="5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0"/>
                <w:szCs w:val="10"/>
                <w:color w:val="auto"/>
              </w:rPr>
            </w:pPr>
          </w:p>
        </w:tc>
        <w:tc>
          <w:tcPr>
            <w:tcW w:w="44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4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43.0</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43.0</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43.0</w:t>
            </w:r>
          </w:p>
        </w:tc>
        <w:tc>
          <w:tcPr>
            <w:tcW w:w="0" w:type="dxa"/>
            <w:vAlign w:val="bottom"/>
          </w:tcPr>
          <w:p>
            <w:pPr>
              <w:spacing w:after="0"/>
              <w:rPr>
                <w:sz w:val="1"/>
                <w:szCs w:val="1"/>
                <w:color w:val="auto"/>
              </w:rPr>
            </w:pPr>
          </w:p>
        </w:tc>
      </w:tr>
      <w:tr>
        <w:trPr>
          <w:trHeight w:val="173"/>
        </w:trPr>
        <w:tc>
          <w:tcPr>
            <w:tcW w:w="10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warrants</w:t>
            </w:r>
          </w:p>
        </w:tc>
        <w:tc>
          <w:tcPr>
            <w:tcW w:w="58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40" w:type="dxa"/>
            <w:vAlign w:val="bottom"/>
            <w:gridSpan w:val="2"/>
            <w:vMerge w:val="continue"/>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40" w:type="dxa"/>
            <w:vAlign w:val="bottom"/>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1080" w:type="dxa"/>
            <w:vAlign w:val="bottom"/>
            <w:gridSpan w:val="3"/>
          </w:tcPr>
          <w:p>
            <w:pPr>
              <w:ind w:left="120"/>
              <w:spacing w:after="0"/>
              <w:rPr>
                <w:sz w:val="20"/>
                <w:szCs w:val="20"/>
                <w:color w:val="auto"/>
              </w:rPr>
            </w:pPr>
            <w:r>
              <w:rPr>
                <w:rFonts w:ascii="Times New Roman" w:cs="Times New Roman" w:eastAsia="Times New Roman" w:hAnsi="Times New Roman"/>
                <w:sz w:val="12"/>
                <w:szCs w:val="12"/>
                <w:color w:val="auto"/>
              </w:rPr>
              <w:t>Currency</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080" w:type="dxa"/>
            <w:vAlign w:val="bottom"/>
            <w:gridSpan w:val="3"/>
          </w:tcPr>
          <w:p>
            <w:pPr>
              <w:ind w:left="120"/>
              <w:spacing w:after="0" w:line="125" w:lineRule="exact"/>
              <w:rPr>
                <w:sz w:val="20"/>
                <w:szCs w:val="20"/>
                <w:color w:val="auto"/>
              </w:rPr>
            </w:pPr>
            <w:r>
              <w:rPr>
                <w:rFonts w:ascii="Times New Roman" w:cs="Times New Roman" w:eastAsia="Times New Roman" w:hAnsi="Times New Roman"/>
                <w:sz w:val="12"/>
                <w:szCs w:val="12"/>
                <w:color w:val="auto"/>
              </w:rPr>
              <w:t>translation</w:t>
            </w:r>
          </w:p>
        </w:tc>
        <w:tc>
          <w:tcPr>
            <w:tcW w:w="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0"/>
                <w:szCs w:val="10"/>
                <w:color w:val="auto"/>
              </w:rPr>
            </w:pPr>
          </w:p>
        </w:tc>
        <w:tc>
          <w:tcPr>
            <w:tcW w:w="4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53.8</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53.8</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53.8</w:t>
            </w:r>
          </w:p>
        </w:tc>
        <w:tc>
          <w:tcPr>
            <w:tcW w:w="0" w:type="dxa"/>
            <w:vAlign w:val="bottom"/>
          </w:tcPr>
          <w:p>
            <w:pPr>
              <w:spacing w:after="0"/>
              <w:rPr>
                <w:sz w:val="1"/>
                <w:szCs w:val="1"/>
                <w:color w:val="auto"/>
              </w:rPr>
            </w:pPr>
          </w:p>
        </w:tc>
      </w:tr>
      <w:tr>
        <w:trPr>
          <w:trHeight w:val="167"/>
        </w:trPr>
        <w:tc>
          <w:tcPr>
            <w:tcW w:w="1080" w:type="dxa"/>
            <w:vAlign w:val="bottom"/>
            <w:gridSpan w:val="3"/>
          </w:tcPr>
          <w:p>
            <w:pPr>
              <w:ind w:left="120"/>
              <w:spacing w:after="0"/>
              <w:rPr>
                <w:sz w:val="20"/>
                <w:szCs w:val="20"/>
                <w:color w:val="auto"/>
              </w:rPr>
            </w:pPr>
            <w:r>
              <w:rPr>
                <w:rFonts w:ascii="Times New Roman" w:cs="Times New Roman" w:eastAsia="Times New Roman" w:hAnsi="Times New Roman"/>
                <w:sz w:val="12"/>
                <w:szCs w:val="12"/>
                <w:color w:val="auto"/>
              </w:rPr>
              <w:t>adjustment</w:t>
            </w:r>
          </w:p>
        </w:tc>
        <w:tc>
          <w:tcPr>
            <w:tcW w:w="5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0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Net loss</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(770.2)</w:t>
            </w: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(770.2)</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(1.7)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(771.9)</w:t>
            </w:r>
          </w:p>
        </w:tc>
        <w:tc>
          <w:tcPr>
            <w:tcW w:w="0" w:type="dxa"/>
            <w:vAlign w:val="bottom"/>
          </w:tcPr>
          <w:p>
            <w:pPr>
              <w:spacing w:after="0"/>
              <w:rPr>
                <w:sz w:val="1"/>
                <w:szCs w:val="1"/>
                <w:color w:val="auto"/>
              </w:rPr>
            </w:pPr>
          </w:p>
        </w:tc>
      </w:tr>
      <w:tr>
        <w:trPr>
          <w:trHeight w:val="179"/>
        </w:trPr>
        <w:tc>
          <w:tcPr>
            <w:tcW w:w="108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2"/>
                <w:szCs w:val="12"/>
                <w:color w:val="auto"/>
              </w:rPr>
              <w:t>Other</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(7.2)</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(9.6)</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(9.6)</w:t>
            </w:r>
          </w:p>
        </w:tc>
        <w:tc>
          <w:tcPr>
            <w:tcW w:w="0" w:type="dxa"/>
            <w:vAlign w:val="bottom"/>
          </w:tcPr>
          <w:p>
            <w:pPr>
              <w:spacing w:after="0"/>
              <w:rPr>
                <w:sz w:val="1"/>
                <w:szCs w:val="1"/>
                <w:color w:val="auto"/>
              </w:rPr>
            </w:pPr>
          </w:p>
        </w:tc>
      </w:tr>
      <w:tr>
        <w:trPr>
          <w:trHeight w:val="128"/>
        </w:trPr>
        <w:tc>
          <w:tcPr>
            <w:tcW w:w="1080" w:type="dxa"/>
            <w:vAlign w:val="bottom"/>
            <w:gridSpan w:val="3"/>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Balance as of</w:t>
            </w:r>
          </w:p>
        </w:tc>
        <w:tc>
          <w:tcPr>
            <w:tcW w:w="5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vMerge w:val="restart"/>
            <w:shd w:val="clear" w:color="auto" w:fill="CCEEFF"/>
          </w:tcPr>
          <w:p>
            <w:pPr>
              <w:jc w:val="right"/>
              <w:ind w:right="102"/>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rPr>
              <w:t>137,719,193</w:t>
            </w:r>
          </w:p>
        </w:tc>
        <w:tc>
          <w:tcPr>
            <w:tcW w:w="8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1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379,941</w:t>
            </w:r>
          </w:p>
        </w:tc>
        <w:tc>
          <w:tcPr>
            <w:tcW w:w="320" w:type="dxa"/>
            <w:vAlign w:val="bottom"/>
            <w:gridSpan w:val="2"/>
            <w:vMerge w:val="restart"/>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(1,051.3)</w:t>
            </w:r>
          </w:p>
        </w:tc>
        <w:tc>
          <w:tcPr>
            <w:tcW w:w="10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4,626.7</w:t>
            </w:r>
          </w:p>
        </w:tc>
        <w:tc>
          <w:tcPr>
            <w:tcW w:w="10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(1,417.2)</w:t>
            </w:r>
          </w:p>
        </w:tc>
        <w:tc>
          <w:tcPr>
            <w:tcW w:w="100" w:type="dxa"/>
            <w:vAlign w:val="bottom"/>
            <w:shd w:val="clear" w:color="auto" w:fill="CCEEFF"/>
          </w:tcPr>
          <w:p>
            <w:pPr>
              <w:spacing w:after="0"/>
              <w:rPr>
                <w:sz w:val="11"/>
                <w:szCs w:val="11"/>
                <w:color w:val="auto"/>
              </w:rPr>
            </w:pP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(201.2)</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1,958.8</w:t>
            </w:r>
          </w:p>
        </w:tc>
        <w:tc>
          <w:tcPr>
            <w:tcW w:w="100" w:type="dxa"/>
            <w:vAlign w:val="bottom"/>
            <w:shd w:val="clear" w:color="auto" w:fill="CCEEFF"/>
          </w:tcPr>
          <w:p>
            <w:pPr>
              <w:spacing w:after="0"/>
              <w:rPr>
                <w:sz w:val="11"/>
                <w:szCs w:val="11"/>
                <w:color w:val="auto"/>
              </w:rPr>
            </w:pP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vMerge w:val="restart"/>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(6.0)</w:t>
            </w:r>
          </w:p>
        </w:tc>
        <w:tc>
          <w:tcPr>
            <w:tcW w:w="10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1,952.8</w:t>
            </w:r>
          </w:p>
        </w:tc>
        <w:tc>
          <w:tcPr>
            <w:tcW w:w="0" w:type="dxa"/>
            <w:vAlign w:val="bottom"/>
          </w:tcPr>
          <w:p>
            <w:pPr>
              <w:spacing w:after="0"/>
              <w:rPr>
                <w:sz w:val="1"/>
                <w:szCs w:val="1"/>
                <w:color w:val="auto"/>
              </w:rPr>
            </w:pPr>
          </w:p>
        </w:tc>
      </w:tr>
      <w:tr>
        <w:trPr>
          <w:trHeight w:val="171"/>
        </w:trPr>
        <w:tc>
          <w:tcPr>
            <w:tcW w:w="1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September 30, 2025</w:t>
            </w:r>
          </w:p>
        </w:tc>
        <w:tc>
          <w:tcPr>
            <w:tcW w:w="580" w:type="dxa"/>
            <w:vAlign w:val="bottom"/>
            <w:gridSpan w:val="2"/>
            <w:vMerge w:val="continue"/>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320" w:type="dxa"/>
            <w:vAlign w:val="bottom"/>
            <w:gridSpan w:val="2"/>
            <w:vMerge w:val="continue"/>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60" w:type="dxa"/>
            <w:vAlign w:val="bottom"/>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187960</wp:posOffset>
            </wp:positionV>
            <wp:extent cx="716026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PENN ENTERTAINMENT,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0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36"/>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4"/>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182"/>
        </w:trPr>
        <w:tc>
          <w:tcPr>
            <w:tcW w:w="85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40" w:type="dxa"/>
            <w:vAlign w:val="bottom"/>
          </w:tcPr>
          <w:p>
            <w:pPr>
              <w:spacing w:after="0"/>
              <w:rPr>
                <w:sz w:val="15"/>
                <w:szCs w:val="15"/>
                <w:color w:val="auto"/>
              </w:rPr>
            </w:pPr>
          </w:p>
        </w:tc>
        <w:tc>
          <w:tcPr>
            <w:tcW w:w="1080" w:type="dxa"/>
            <w:vAlign w:val="bottom"/>
          </w:tcPr>
          <w:p>
            <w:pPr>
              <w:jc w:val="right"/>
              <w:ind w:right="399"/>
              <w:spacing w:after="0" w:line="166" w:lineRule="exact"/>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400"/>
              <w:spacing w:after="0" w:line="166" w:lineRule="exact"/>
              <w:rPr>
                <w:sz w:val="20"/>
                <w:szCs w:val="20"/>
                <w:color w:val="auto"/>
              </w:rPr>
            </w:pPr>
            <w:r>
              <w:rPr>
                <w:rFonts w:ascii="Times New Roman" w:cs="Times New Roman" w:eastAsia="Times New Roman" w:hAnsi="Times New Roman"/>
                <w:sz w:val="18"/>
                <w:szCs w:val="18"/>
                <w:b w:val="1"/>
                <w:bCs w:val="1"/>
                <w:color w:val="auto"/>
              </w:rPr>
              <w:t>2025</w:t>
            </w:r>
          </w:p>
        </w:tc>
      </w:tr>
      <w:tr>
        <w:trPr>
          <w:trHeight w:val="33"/>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7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6"/>
        </w:trPr>
        <w:tc>
          <w:tcPr>
            <w:tcW w:w="8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84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2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100" w:type="dxa"/>
            <w:vAlign w:val="bottom"/>
          </w:tcPr>
          <w:p>
            <w:pPr>
              <w:spacing w:after="0"/>
              <w:rPr>
                <w:sz w:val="19"/>
                <w:szCs w:val="19"/>
                <w:color w:val="auto"/>
              </w:rPr>
            </w:pPr>
          </w:p>
        </w:tc>
        <w:tc>
          <w:tcPr>
            <w:tcW w:w="3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(771.9)</w:t>
            </w:r>
          </w:p>
        </w:tc>
      </w:tr>
      <w:tr>
        <w:trPr>
          <w:trHeight w:val="228"/>
        </w:trPr>
        <w:tc>
          <w:tcPr>
            <w:tcW w:w="20" w:type="dxa"/>
            <w:vAlign w:val="bottom"/>
            <w:shd w:val="clear" w:color="auto" w:fill="CCEEFF"/>
          </w:tcPr>
          <w:p>
            <w:pPr>
              <w:spacing w:after="0"/>
              <w:rPr>
                <w:sz w:val="19"/>
                <w:szCs w:val="19"/>
                <w:color w:val="auto"/>
              </w:rPr>
            </w:pPr>
          </w:p>
        </w:tc>
        <w:tc>
          <w:tcPr>
            <w:tcW w:w="8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operating activities: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48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332.7</w:t>
            </w:r>
          </w:p>
        </w:tc>
      </w:tr>
      <w:tr>
        <w:trPr>
          <w:trHeight w:val="228"/>
        </w:trPr>
        <w:tc>
          <w:tcPr>
            <w:tcW w:w="20" w:type="dxa"/>
            <w:vAlign w:val="bottom"/>
            <w:shd w:val="clear" w:color="auto" w:fill="CCEEFF"/>
          </w:tcPr>
          <w:p>
            <w:pPr>
              <w:spacing w:after="0"/>
              <w:rPr>
                <w:sz w:val="19"/>
                <w:szCs w:val="19"/>
                <w:color w:val="auto"/>
              </w:rPr>
            </w:pPr>
          </w:p>
        </w:tc>
        <w:tc>
          <w:tcPr>
            <w:tcW w:w="84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Non-cash operating lease expense</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266.0</w:t>
            </w:r>
          </w:p>
        </w:tc>
      </w:tr>
      <w:tr>
        <w:trPr>
          <w:trHeight w:val="223"/>
        </w:trPr>
        <w:tc>
          <w:tcPr>
            <w:tcW w:w="20" w:type="dxa"/>
            <w:vAlign w:val="bottom"/>
          </w:tcPr>
          <w:p>
            <w:pPr>
              <w:spacing w:after="0"/>
              <w:rPr>
                <w:sz w:val="19"/>
                <w:szCs w:val="19"/>
                <w:color w:val="auto"/>
              </w:rPr>
            </w:pPr>
          </w:p>
        </w:tc>
        <w:tc>
          <w:tcPr>
            <w:tcW w:w="848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Income from unconsolidated affiliates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w:t>
            </w:r>
          </w:p>
        </w:tc>
      </w:tr>
      <w:tr>
        <w:trPr>
          <w:trHeight w:val="228"/>
        </w:trPr>
        <w:tc>
          <w:tcPr>
            <w:tcW w:w="20" w:type="dxa"/>
            <w:vAlign w:val="bottom"/>
            <w:shd w:val="clear" w:color="auto" w:fill="CCEEFF"/>
          </w:tcPr>
          <w:p>
            <w:pPr>
              <w:spacing w:after="0"/>
              <w:rPr>
                <w:sz w:val="19"/>
                <w:szCs w:val="19"/>
                <w:color w:val="auto"/>
              </w:rPr>
            </w:pPr>
          </w:p>
        </w:tc>
        <w:tc>
          <w:tcPr>
            <w:tcW w:w="84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Return on investment from unconsolidated affiliates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r>
      <w:tr>
        <w:trPr>
          <w:trHeight w:val="223"/>
        </w:trPr>
        <w:tc>
          <w:tcPr>
            <w:tcW w:w="20" w:type="dxa"/>
            <w:vAlign w:val="bottom"/>
          </w:tcPr>
          <w:p>
            <w:pPr>
              <w:spacing w:after="0"/>
              <w:rPr>
                <w:sz w:val="19"/>
                <w:szCs w:val="19"/>
                <w:color w:val="auto"/>
              </w:rPr>
            </w:pPr>
          </w:p>
        </w:tc>
        <w:tc>
          <w:tcPr>
            <w:tcW w:w="848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Deferred income taxes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w:t>
            </w:r>
          </w:p>
        </w:tc>
      </w:tr>
      <w:tr>
        <w:trPr>
          <w:trHeight w:val="228"/>
        </w:trPr>
        <w:tc>
          <w:tcPr>
            <w:tcW w:w="20" w:type="dxa"/>
            <w:vAlign w:val="bottom"/>
            <w:shd w:val="clear" w:color="auto" w:fill="CCEEFF"/>
          </w:tcPr>
          <w:p>
            <w:pPr>
              <w:spacing w:after="0"/>
              <w:rPr>
                <w:sz w:val="19"/>
                <w:szCs w:val="19"/>
                <w:color w:val="auto"/>
              </w:rPr>
            </w:pPr>
          </w:p>
        </w:tc>
        <w:tc>
          <w:tcPr>
            <w:tcW w:w="84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Stock-based compensation</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w:t>
            </w:r>
          </w:p>
        </w:tc>
      </w:tr>
      <w:tr>
        <w:trPr>
          <w:trHeight w:val="223"/>
        </w:trPr>
        <w:tc>
          <w:tcPr>
            <w:tcW w:w="20" w:type="dxa"/>
            <w:vAlign w:val="bottom"/>
          </w:tcPr>
          <w:p>
            <w:pPr>
              <w:spacing w:after="0"/>
              <w:rPr>
                <w:sz w:val="19"/>
                <w:szCs w:val="19"/>
                <w:color w:val="auto"/>
              </w:rPr>
            </w:pPr>
          </w:p>
        </w:tc>
        <w:tc>
          <w:tcPr>
            <w:tcW w:w="848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Investment Agreement warrant expense</w:t>
            </w:r>
          </w:p>
        </w:tc>
        <w:tc>
          <w:tcPr>
            <w:tcW w:w="2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w:t>
            </w:r>
          </w:p>
        </w:tc>
      </w:tr>
      <w:tr>
        <w:trPr>
          <w:trHeight w:val="228"/>
        </w:trPr>
        <w:tc>
          <w:tcPr>
            <w:tcW w:w="20" w:type="dxa"/>
            <w:vAlign w:val="bottom"/>
            <w:shd w:val="clear" w:color="auto" w:fill="CCEEFF"/>
          </w:tcPr>
          <w:p>
            <w:pPr>
              <w:spacing w:after="0"/>
              <w:rPr>
                <w:sz w:val="19"/>
                <w:szCs w:val="19"/>
                <w:color w:val="auto"/>
              </w:rPr>
            </w:pPr>
          </w:p>
        </w:tc>
        <w:tc>
          <w:tcPr>
            <w:tcW w:w="84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Impairment losses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840.0</w:t>
            </w:r>
          </w:p>
        </w:tc>
      </w:tr>
      <w:tr>
        <w:trPr>
          <w:trHeight w:val="223"/>
        </w:trPr>
        <w:tc>
          <w:tcPr>
            <w:tcW w:w="20" w:type="dxa"/>
            <w:vAlign w:val="bottom"/>
          </w:tcPr>
          <w:p>
            <w:pPr>
              <w:spacing w:after="0"/>
              <w:rPr>
                <w:sz w:val="19"/>
                <w:szCs w:val="19"/>
                <w:color w:val="auto"/>
              </w:rPr>
            </w:pPr>
          </w:p>
        </w:tc>
        <w:tc>
          <w:tcPr>
            <w:tcW w:w="848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Gain on financing arrangement</w:t>
            </w:r>
          </w:p>
        </w:tc>
        <w:tc>
          <w:tcPr>
            <w:tcW w:w="2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(215.1)</w:t>
            </w:r>
          </w:p>
        </w:tc>
      </w:tr>
      <w:tr>
        <w:trPr>
          <w:trHeight w:val="228"/>
        </w:trPr>
        <w:tc>
          <w:tcPr>
            <w:tcW w:w="20" w:type="dxa"/>
            <w:vAlign w:val="bottom"/>
            <w:shd w:val="clear" w:color="auto" w:fill="CCEEFF"/>
          </w:tcPr>
          <w:p>
            <w:pPr>
              <w:spacing w:after="0"/>
              <w:rPr>
                <w:sz w:val="19"/>
                <w:szCs w:val="19"/>
                <w:color w:val="auto"/>
              </w:rPr>
            </w:pPr>
          </w:p>
        </w:tc>
        <w:tc>
          <w:tcPr>
            <w:tcW w:w="84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Loss on early extinguishment of debt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r>
      <w:tr>
        <w:trPr>
          <w:trHeight w:val="223"/>
        </w:trPr>
        <w:tc>
          <w:tcPr>
            <w:tcW w:w="20" w:type="dxa"/>
            <w:vAlign w:val="bottom"/>
          </w:tcPr>
          <w:p>
            <w:pPr>
              <w:spacing w:after="0"/>
              <w:rPr>
                <w:sz w:val="19"/>
                <w:szCs w:val="19"/>
                <w:color w:val="auto"/>
              </w:rPr>
            </w:pPr>
          </w:p>
        </w:tc>
        <w:tc>
          <w:tcPr>
            <w:tcW w:w="848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8"/>
        </w:trPr>
        <w:tc>
          <w:tcPr>
            <w:tcW w:w="20" w:type="dxa"/>
            <w:vAlign w:val="bottom"/>
            <w:shd w:val="clear" w:color="auto" w:fill="CCEEFF"/>
          </w:tcPr>
          <w:p>
            <w:pPr>
              <w:spacing w:after="0"/>
              <w:rPr>
                <w:sz w:val="19"/>
                <w:szCs w:val="19"/>
                <w:color w:val="auto"/>
              </w:rPr>
            </w:pPr>
          </w:p>
        </w:tc>
        <w:tc>
          <w:tcPr>
            <w:tcW w:w="84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Accounts receivable</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w:t>
            </w:r>
          </w:p>
        </w:tc>
      </w:tr>
      <w:tr>
        <w:trPr>
          <w:trHeight w:val="223"/>
        </w:trPr>
        <w:tc>
          <w:tcPr>
            <w:tcW w:w="20" w:type="dxa"/>
            <w:vAlign w:val="bottom"/>
          </w:tcPr>
          <w:p>
            <w:pPr>
              <w:spacing w:after="0"/>
              <w:rPr>
                <w:sz w:val="19"/>
                <w:szCs w:val="19"/>
                <w:color w:val="auto"/>
              </w:rPr>
            </w:pPr>
          </w:p>
        </w:tc>
        <w:tc>
          <w:tcPr>
            <w:tcW w:w="848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r>
      <w:tr>
        <w:trPr>
          <w:trHeight w:val="228"/>
        </w:trPr>
        <w:tc>
          <w:tcPr>
            <w:tcW w:w="20" w:type="dxa"/>
            <w:vAlign w:val="bottom"/>
            <w:shd w:val="clear" w:color="auto" w:fill="CCEEFF"/>
          </w:tcPr>
          <w:p>
            <w:pPr>
              <w:spacing w:after="0"/>
              <w:rPr>
                <w:sz w:val="19"/>
                <w:szCs w:val="19"/>
                <w:color w:val="auto"/>
              </w:rPr>
            </w:pPr>
          </w:p>
        </w:tc>
        <w:tc>
          <w:tcPr>
            <w:tcW w:w="84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r>
      <w:tr>
        <w:trPr>
          <w:trHeight w:val="223"/>
        </w:trPr>
        <w:tc>
          <w:tcPr>
            <w:tcW w:w="20" w:type="dxa"/>
            <w:vAlign w:val="bottom"/>
          </w:tcPr>
          <w:p>
            <w:pPr>
              <w:spacing w:after="0"/>
              <w:rPr>
                <w:sz w:val="19"/>
                <w:szCs w:val="19"/>
                <w:color w:val="auto"/>
              </w:rPr>
            </w:pPr>
          </w:p>
        </w:tc>
        <w:tc>
          <w:tcPr>
            <w:tcW w:w="848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228"/>
        </w:trPr>
        <w:tc>
          <w:tcPr>
            <w:tcW w:w="20" w:type="dxa"/>
            <w:vAlign w:val="bottom"/>
            <w:shd w:val="clear" w:color="auto" w:fill="CCEEFF"/>
          </w:tcPr>
          <w:p>
            <w:pPr>
              <w:spacing w:after="0"/>
              <w:rPr>
                <w:sz w:val="19"/>
                <w:szCs w:val="19"/>
                <w:color w:val="auto"/>
              </w:rPr>
            </w:pPr>
          </w:p>
        </w:tc>
        <w:tc>
          <w:tcPr>
            <w:tcW w:w="84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Accrued expenses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23"/>
        </w:trPr>
        <w:tc>
          <w:tcPr>
            <w:tcW w:w="20" w:type="dxa"/>
            <w:vAlign w:val="bottom"/>
          </w:tcPr>
          <w:p>
            <w:pPr>
              <w:spacing w:after="0"/>
              <w:rPr>
                <w:sz w:val="19"/>
                <w:szCs w:val="19"/>
                <w:color w:val="auto"/>
              </w:rPr>
            </w:pPr>
          </w:p>
        </w:tc>
        <w:tc>
          <w:tcPr>
            <w:tcW w:w="848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Income taxes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28"/>
        </w:trPr>
        <w:tc>
          <w:tcPr>
            <w:tcW w:w="20" w:type="dxa"/>
            <w:vAlign w:val="bottom"/>
            <w:shd w:val="clear" w:color="auto" w:fill="CCEEFF"/>
          </w:tcPr>
          <w:p>
            <w:pPr>
              <w:spacing w:after="0"/>
              <w:rPr>
                <w:sz w:val="19"/>
                <w:szCs w:val="19"/>
                <w:color w:val="auto"/>
              </w:rPr>
            </w:pPr>
          </w:p>
        </w:tc>
        <w:tc>
          <w:tcPr>
            <w:tcW w:w="84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(254.6)</w:t>
            </w:r>
          </w:p>
        </w:tc>
      </w:tr>
      <w:tr>
        <w:trPr>
          <w:trHeight w:val="223"/>
        </w:trPr>
        <w:tc>
          <w:tcPr>
            <w:tcW w:w="20" w:type="dxa"/>
            <w:vAlign w:val="bottom"/>
          </w:tcPr>
          <w:p>
            <w:pPr>
              <w:spacing w:after="0"/>
              <w:rPr>
                <w:sz w:val="19"/>
                <w:szCs w:val="19"/>
                <w:color w:val="auto"/>
              </w:rPr>
            </w:pPr>
          </w:p>
        </w:tc>
        <w:tc>
          <w:tcPr>
            <w:tcW w:w="848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Other current and long-term liabilities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r>
      <w:tr>
        <w:trPr>
          <w:trHeight w:val="226"/>
        </w:trPr>
        <w:tc>
          <w:tcPr>
            <w:tcW w:w="20" w:type="dxa"/>
            <w:vAlign w:val="bottom"/>
            <w:shd w:val="clear" w:color="auto" w:fill="CCEEFF"/>
          </w:tcPr>
          <w:p>
            <w:pPr>
              <w:spacing w:after="0"/>
              <w:rPr>
                <w:sz w:val="19"/>
                <w:szCs w:val="19"/>
                <w:color w:val="auto"/>
              </w:rPr>
            </w:pPr>
          </w:p>
        </w:tc>
        <w:tc>
          <w:tcPr>
            <w:tcW w:w="84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w:t>
            </w:r>
          </w:p>
        </w:tc>
      </w:tr>
      <w:tr>
        <w:trPr>
          <w:trHeight w:val="219"/>
        </w:trPr>
        <w:tc>
          <w:tcPr>
            <w:tcW w:w="2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77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626.4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401.0</w:t>
            </w:r>
          </w:p>
        </w:tc>
      </w:tr>
      <w:tr>
        <w:trPr>
          <w:trHeight w:val="208"/>
        </w:trPr>
        <w:tc>
          <w:tcPr>
            <w:tcW w:w="8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48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Capital expenditures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(457.3)</w:t>
            </w:r>
          </w:p>
        </w:tc>
      </w:tr>
      <w:tr>
        <w:trPr>
          <w:trHeight w:val="228"/>
        </w:trPr>
        <w:tc>
          <w:tcPr>
            <w:tcW w:w="20" w:type="dxa"/>
            <w:vAlign w:val="bottom"/>
            <w:shd w:val="clear" w:color="auto" w:fill="CCEEFF"/>
          </w:tcPr>
          <w:p>
            <w:pPr>
              <w:spacing w:after="0"/>
              <w:rPr>
                <w:sz w:val="19"/>
                <w:szCs w:val="19"/>
                <w:color w:val="auto"/>
              </w:rPr>
            </w:pPr>
          </w:p>
        </w:tc>
        <w:tc>
          <w:tcPr>
            <w:tcW w:w="84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Proceeds from sale-and-leaseback transactions in conjunction with development projects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w:t>
            </w:r>
          </w:p>
        </w:tc>
      </w:tr>
      <w:tr>
        <w:trPr>
          <w:trHeight w:val="223"/>
        </w:trPr>
        <w:tc>
          <w:tcPr>
            <w:tcW w:w="20" w:type="dxa"/>
            <w:vAlign w:val="bottom"/>
          </w:tcPr>
          <w:p>
            <w:pPr>
              <w:spacing w:after="0"/>
              <w:rPr>
                <w:sz w:val="19"/>
                <w:szCs w:val="19"/>
                <w:color w:val="auto"/>
              </w:rPr>
            </w:pPr>
          </w:p>
        </w:tc>
        <w:tc>
          <w:tcPr>
            <w:tcW w:w="848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Proceeds from sale of investments</w:t>
            </w:r>
          </w:p>
        </w:tc>
        <w:tc>
          <w:tcPr>
            <w:tcW w:w="2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w:t>
            </w:r>
          </w:p>
        </w:tc>
      </w:tr>
      <w:tr>
        <w:trPr>
          <w:trHeight w:val="228"/>
        </w:trPr>
        <w:tc>
          <w:tcPr>
            <w:tcW w:w="20" w:type="dxa"/>
            <w:vAlign w:val="bottom"/>
            <w:shd w:val="clear" w:color="auto" w:fill="CCEEFF"/>
          </w:tcPr>
          <w:p>
            <w:pPr>
              <w:spacing w:after="0"/>
              <w:rPr>
                <w:sz w:val="19"/>
                <w:szCs w:val="19"/>
                <w:color w:val="auto"/>
              </w:rPr>
            </w:pPr>
          </w:p>
        </w:tc>
        <w:tc>
          <w:tcPr>
            <w:tcW w:w="84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Consideration paid for gaming licenses and other intangible assets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w:t>
            </w:r>
          </w:p>
        </w:tc>
      </w:tr>
      <w:tr>
        <w:trPr>
          <w:trHeight w:val="223"/>
        </w:trPr>
        <w:tc>
          <w:tcPr>
            <w:tcW w:w="20" w:type="dxa"/>
            <w:vAlign w:val="bottom"/>
            <w:tcBorders>
              <w:bottom w:val="single" w:sz="8" w:color="CCEEFF"/>
            </w:tcBorders>
          </w:tcPr>
          <w:p>
            <w:pPr>
              <w:spacing w:after="0"/>
              <w:rPr>
                <w:sz w:val="19"/>
                <w:szCs w:val="19"/>
                <w:color w:val="auto"/>
              </w:rPr>
            </w:pPr>
          </w:p>
        </w:tc>
        <w:tc>
          <w:tcPr>
            <w:tcW w:w="848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w:t>
            </w:r>
          </w:p>
        </w:tc>
      </w:tr>
      <w:tr>
        <w:trPr>
          <w:trHeight w:val="219"/>
        </w:trPr>
        <w:tc>
          <w:tcPr>
            <w:tcW w:w="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7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(303.3)</w:t>
            </w:r>
          </w:p>
        </w:tc>
      </w:tr>
    </w:tbl>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187960</wp:posOffset>
            </wp:positionV>
            <wp:extent cx="716026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0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4"/>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40" w:type="dxa"/>
            <w:vAlign w:val="bottom"/>
          </w:tcPr>
          <w:p>
            <w:pPr>
              <w:spacing w:after="0"/>
              <w:rPr>
                <w:sz w:val="15"/>
                <w:szCs w:val="15"/>
                <w:color w:val="auto"/>
              </w:rPr>
            </w:pPr>
          </w:p>
        </w:tc>
        <w:tc>
          <w:tcPr>
            <w:tcW w:w="1080" w:type="dxa"/>
            <w:vAlign w:val="bottom"/>
          </w:tcPr>
          <w:p>
            <w:pPr>
              <w:jc w:val="right"/>
              <w:ind w:right="399"/>
              <w:spacing w:after="0" w:line="166" w:lineRule="exact"/>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400"/>
              <w:spacing w:after="0" w:line="166" w:lineRule="exact"/>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
        </w:trPr>
        <w:tc>
          <w:tcPr>
            <w:tcW w:w="20" w:type="dxa"/>
            <w:vAlign w:val="bottom"/>
            <w:vMerge w:val="restart"/>
          </w:tcPr>
          <w:p>
            <w:pPr>
              <w:spacing w:after="0"/>
              <w:rPr>
                <w:sz w:val="2"/>
                <w:szCs w:val="2"/>
                <w:color w:val="auto"/>
              </w:rPr>
            </w:pPr>
          </w:p>
        </w:tc>
        <w:tc>
          <w:tcPr>
            <w:tcW w:w="84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4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84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Proceeds from revolving credit facility</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8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Repayments of revolving credit facility</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(217.5)</w:t>
            </w: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84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Proceeds from issuance of term loans, net of discount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8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Proceeds from issuance of bonds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84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Repayments on credit facilities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8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Repayment and repurchases of convertible debt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(223.8)</w:t>
            </w: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84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Principal payments on long-term debt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8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Debt issuance costs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84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Principal payments on financing obligations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8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Principal payments on finance leases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84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8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Proceeds from insurance financing</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84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Payments on insurance financing</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848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7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(129.0)</w:t>
            </w:r>
          </w:p>
        </w:tc>
        <w:tc>
          <w:tcPr>
            <w:tcW w:w="0" w:type="dxa"/>
            <w:vAlign w:val="bottom"/>
          </w:tcPr>
          <w:p>
            <w:pPr>
              <w:spacing w:after="0"/>
              <w:rPr>
                <w:sz w:val="1"/>
                <w:szCs w:val="1"/>
                <w:color w:val="auto"/>
              </w:rPr>
            </w:pPr>
          </w:p>
        </w:tc>
      </w:tr>
      <w:tr>
        <w:trPr>
          <w:trHeight w:val="223"/>
        </w:trPr>
        <w:tc>
          <w:tcPr>
            <w:tcW w:w="85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Effect of currency rate changes on cash, cash equivalents, and restricted cash</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22"/>
        </w:trPr>
        <w:tc>
          <w:tcPr>
            <w:tcW w:w="8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cash, cash equivalents, and restricted cash</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0" w:type="dxa"/>
            <w:vAlign w:val="bottom"/>
          </w:tcPr>
          <w:p>
            <w:pPr>
              <w:spacing w:after="0"/>
              <w:rPr>
                <w:sz w:val="1"/>
                <w:szCs w:val="1"/>
                <w:color w:val="auto"/>
              </w:rPr>
            </w:pPr>
          </w:p>
        </w:tc>
      </w:tr>
      <w:tr>
        <w:trPr>
          <w:trHeight w:val="223"/>
        </w:trPr>
        <w:tc>
          <w:tcPr>
            <w:tcW w:w="85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the beginning of the year</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714.8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723.8</w:t>
            </w:r>
          </w:p>
        </w:tc>
        <w:tc>
          <w:tcPr>
            <w:tcW w:w="0" w:type="dxa"/>
            <w:vAlign w:val="bottom"/>
          </w:tcPr>
          <w:p>
            <w:pPr>
              <w:spacing w:after="0"/>
              <w:rPr>
                <w:sz w:val="1"/>
                <w:szCs w:val="1"/>
                <w:color w:val="auto"/>
              </w:rPr>
            </w:pPr>
          </w:p>
        </w:tc>
      </w:tr>
      <w:tr>
        <w:trPr>
          <w:trHeight w:val="247"/>
        </w:trPr>
        <w:tc>
          <w:tcPr>
            <w:tcW w:w="85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the end of the period</w:t>
            </w: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7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77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5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cash, cash equivalents, and restricted cash:</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84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8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Restricted cash included in Other current assets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84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Restricted cash included in 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8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2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1,074.1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692.1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77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7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84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Cash paid for interest, net of amounts capitalized</w:t>
            </w: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8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Cash payments (refunds) related to income taxes, net</w:t>
            </w:r>
          </w:p>
        </w:tc>
        <w:tc>
          <w:tcPr>
            <w:tcW w:w="2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tcPr>
          <w:p>
            <w:pPr>
              <w:spacing w:after="0"/>
              <w:rPr>
                <w:sz w:val="19"/>
                <w:szCs w:val="19"/>
                <w:color w:val="auto"/>
              </w:rPr>
            </w:pPr>
          </w:p>
        </w:tc>
        <w:tc>
          <w:tcPr>
            <w:tcW w:w="3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55"/>
        </w:trPr>
        <w:tc>
          <w:tcPr>
            <w:tcW w:w="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77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5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Non-cash activities: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84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Accrued capital expenditures</w:t>
            </w: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0" w:type="dxa"/>
            <w:vAlign w:val="bottom"/>
          </w:tcPr>
          <w:p>
            <w:pPr>
              <w:spacing w:after="0"/>
              <w:rPr>
                <w:sz w:val="1"/>
                <w:szCs w:val="1"/>
                <w:color w:val="auto"/>
              </w:rPr>
            </w:pPr>
          </w:p>
        </w:tc>
      </w:tr>
    </w:tbl>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179705</wp:posOffset>
            </wp:positionV>
            <wp:extent cx="716026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PENN ENTERTAINMENT, INC. AND SUBSIDIARIES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1—Organization</w:t>
      </w:r>
    </w:p>
    <w:p>
      <w:pPr>
        <w:spacing w:after="0" w:line="176" w:lineRule="exact"/>
        <w:rPr>
          <w:sz w:val="20"/>
          <w:szCs w:val="20"/>
          <w:color w:val="auto"/>
        </w:rPr>
      </w:pPr>
    </w:p>
    <w:p>
      <w:pPr>
        <w:ind w:firstLine="319"/>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Organization: </w:t>
      </w:r>
      <w:r>
        <w:rPr>
          <w:rFonts w:ascii="Times New Roman" w:cs="Times New Roman" w:eastAsia="Times New Roman" w:hAnsi="Times New Roman"/>
          <w:sz w:val="17"/>
          <w:szCs w:val="17"/>
          <w:color w:val="auto"/>
        </w:rPr>
        <w:t>PENN Entertainment, Inc., together with its subsidiaries (“PENN,” or the “Company,” “we,” “our,” or “us”), operates in 28 jurisdictions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throughout North America, with a broadly diversified portfolio of casinos, racetracks, and online sports betting (“OSB”) and iCasino offerings. PENN’s focus is on organic cross-sell opportunities, reinforced by its market-leading retail casinos, sports media assets and technology, including a proprietary state-of-the-art, fully integrated digital sports betting and iCasino platform, and an in-house iCasino content studio. The Company’s portfolio is further bolstered by its industry-leading PENN Play</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customer loyalty program, offering its over 34 million members a unique set of rewards and experiences.</w:t>
      </w:r>
    </w:p>
    <w:p>
      <w:pPr>
        <w:spacing w:after="0" w:line="62" w:lineRule="exact"/>
        <w:rPr>
          <w:sz w:val="20"/>
          <w:szCs w:val="20"/>
          <w:color w:val="auto"/>
        </w:rPr>
      </w:pPr>
    </w:p>
    <w:p>
      <w:pPr>
        <w:ind w:right="100" w:firstLine="319"/>
        <w:spacing w:after="0" w:line="260" w:lineRule="auto"/>
        <w:rPr>
          <w:sz w:val="20"/>
          <w:szCs w:val="20"/>
          <w:color w:val="auto"/>
        </w:rPr>
      </w:pPr>
      <w:r>
        <w:rPr>
          <w:rFonts w:ascii="Times New Roman" w:cs="Times New Roman" w:eastAsia="Times New Roman" w:hAnsi="Times New Roman"/>
          <w:sz w:val="18"/>
          <w:szCs w:val="18"/>
          <w:color w:val="auto"/>
        </w:rPr>
        <w:t xml:space="preserve">The majority of the real estate assets (i.e., land and buildings) used in our operations are subject to triple net master leases; the most significant of which are with Gaming and Leisure Properties, Inc. (Nasdaq: GLPI) (“GLPI”), a real estate investment trust (“REIT”), and include the AR PENN Master Lease, 2023 Master Lease, and Pinnacle Master Lease (as such terms are defined in </w:t>
      </w:r>
      <w:r>
        <w:rPr>
          <w:rFonts w:ascii="Times New Roman" w:cs="Times New Roman" w:eastAsia="Times New Roman" w:hAnsi="Times New Roman"/>
          <w:sz w:val="18"/>
          <w:szCs w:val="18"/>
          <w:u w:val="single" w:color="auto"/>
          <w:color w:val="0000FF"/>
        </w:rPr>
        <w:t>Note 6, “Leases”</w:t>
      </w:r>
      <w:r>
        <w:rPr>
          <w:rFonts w:ascii="Times New Roman" w:cs="Times New Roman" w:eastAsia="Times New Roman" w:hAnsi="Times New Roman"/>
          <w:sz w:val="18"/>
          <w:szCs w:val="18"/>
          <w:color w:val="auto"/>
        </w:rPr>
        <w:t xml:space="preserve"> and collectively referred to as the “Master Leases”).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2—Significant Accounting Policies and Basis of Presentation</w:t>
      </w:r>
    </w:p>
    <w:p>
      <w:pPr>
        <w:spacing w:after="0" w:line="176" w:lineRule="exact"/>
        <w:rPr>
          <w:sz w:val="20"/>
          <w:szCs w:val="20"/>
          <w:color w:val="auto"/>
        </w:rPr>
      </w:pPr>
    </w:p>
    <w:p>
      <w:pPr>
        <w:ind w:right="320" w:firstLine="31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Basis of Presentation: </w:t>
      </w:r>
      <w:r>
        <w:rPr>
          <w:rFonts w:ascii="Times New Roman" w:cs="Times New Roman" w:eastAsia="Times New Roman" w:hAnsi="Times New Roman"/>
          <w:sz w:val="18"/>
          <w:szCs w:val="18"/>
          <w:color w:val="auto"/>
        </w:rPr>
        <w:t>The unaudited Consolidated Financial Statements of the Company have been prepared in accordance with generally accepted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accounting principles in the United States (“GAAP”) for interim financial information and with the rules and regulations of the United States (“U.S.”) Securities and Exchange Commission (the “SEC”). Accordingly, they do not include all of the information and notes required by GAAP for complete consolidated financial statements. In the opinion of management, all adjustments (consisting of normal recurring accruals) considered necessary for a fair statement have been included.</w:t>
      </w:r>
    </w:p>
    <w:p>
      <w:pPr>
        <w:spacing w:after="0" w:line="144" w:lineRule="exact"/>
        <w:rPr>
          <w:sz w:val="20"/>
          <w:szCs w:val="20"/>
          <w:color w:val="auto"/>
        </w:rPr>
      </w:pPr>
    </w:p>
    <w:p>
      <w:pPr>
        <w:ind w:right="80" w:firstLine="319"/>
        <w:spacing w:after="0" w:line="283" w:lineRule="auto"/>
        <w:rPr>
          <w:sz w:val="20"/>
          <w:szCs w:val="20"/>
          <w:color w:val="auto"/>
        </w:rPr>
      </w:pPr>
      <w:r>
        <w:rPr>
          <w:rFonts w:ascii="Times New Roman" w:cs="Times New Roman" w:eastAsia="Times New Roman" w:hAnsi="Times New Roman"/>
          <w:sz w:val="17"/>
          <w:szCs w:val="17"/>
          <w:color w:val="auto"/>
        </w:rPr>
        <w:t>Results of operations and cash flows for the interim periods presented herein are not necessarily indicative of the results that would be achieved during a full year of operations or in future periods. These unaudited Consolidated Financial Statements and notes thereto should be read in conjunction with the Consolidated Financial Statements and notes thereto included in the Company’s Annual Report on Form 10-K for the year ended December 31, 2025.</w:t>
      </w:r>
    </w:p>
    <w:p>
      <w:pPr>
        <w:spacing w:after="0" w:line="128" w:lineRule="exact"/>
        <w:rPr>
          <w:sz w:val="20"/>
          <w:szCs w:val="20"/>
          <w:color w:val="auto"/>
        </w:rPr>
      </w:pPr>
    </w:p>
    <w:p>
      <w:pPr>
        <w:ind w:right="100" w:firstLine="31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Principles of Consolidation: </w:t>
      </w:r>
      <w:r>
        <w:rPr>
          <w:rFonts w:ascii="Times New Roman" w:cs="Times New Roman" w:eastAsia="Times New Roman" w:hAnsi="Times New Roman"/>
          <w:sz w:val="18"/>
          <w:szCs w:val="18"/>
          <w:color w:val="auto"/>
        </w:rPr>
        <w:t>The unaudited Consolidated Financial Statements include the accounts of PENN Entertainment, Inc. and its subsidiaries.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Investments in and advances to unconsolidated affiliates that do not meet the consolidation criteria of the authoritative guidance for voting interest entities (“VOEs”) or variable interest entities (“VIEs”) are accounted for under the equity method. All intercompany accounts and transactions have been eliminated in consolidation.</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Reclassifications: </w:t>
      </w:r>
      <w:r>
        <w:rPr>
          <w:rFonts w:ascii="Times New Roman" w:cs="Times New Roman" w:eastAsia="Times New Roman" w:hAnsi="Times New Roman"/>
          <w:sz w:val="18"/>
          <w:szCs w:val="18"/>
          <w:color w:val="auto"/>
        </w:rPr>
        <w:t>Certain reclassifications have been made to conform the prior period presentation with current year presentation.</w:t>
      </w:r>
    </w:p>
    <w:p>
      <w:pPr>
        <w:spacing w:after="0" w:line="178" w:lineRule="exact"/>
        <w:rPr>
          <w:sz w:val="20"/>
          <w:szCs w:val="20"/>
          <w:color w:val="auto"/>
        </w:rPr>
      </w:pPr>
    </w:p>
    <w:p>
      <w:pPr>
        <w:jc w:val="both"/>
        <w:ind w:right="180" w:firstLine="31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Use of Estimates: </w:t>
      </w:r>
      <w:r>
        <w:rPr>
          <w:rFonts w:ascii="Times New Roman" w:cs="Times New Roman" w:eastAsia="Times New Roman" w:hAnsi="Times New Roman"/>
          <w:sz w:val="18"/>
          <w:szCs w:val="18"/>
          <w:color w:val="auto"/>
        </w:rPr>
        <w:t>The preparation of unaudited Consolidated Financial Statements in conformity with GAAP requires management to make estimates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assumptions that affect (i) the reported amounts of assets and liabilities, (ii) the disclosure of contingent assets and liabilities at the date of the financial statements, and (iii) the reported amounts of revenues and expenses during the reporting period. We applied estimation methods consistently for the periods presented within the unaudited Consolidated Financial Statements. Actual results may differ from those estimates.</w:t>
      </w:r>
    </w:p>
    <w:p>
      <w:pPr>
        <w:spacing w:after="0" w:line="149" w:lineRule="exact"/>
        <w:rPr>
          <w:sz w:val="20"/>
          <w:szCs w:val="20"/>
          <w:color w:val="auto"/>
        </w:rPr>
      </w:pPr>
    </w:p>
    <w:p>
      <w:pPr>
        <w:ind w:right="140" w:firstLine="319"/>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Segment Information: </w:t>
      </w:r>
      <w:r>
        <w:rPr>
          <w:rFonts w:ascii="Times New Roman" w:cs="Times New Roman" w:eastAsia="Times New Roman" w:hAnsi="Times New Roman"/>
          <w:sz w:val="18"/>
          <w:szCs w:val="18"/>
          <w:color w:val="auto"/>
        </w:rPr>
        <w:t>We have five reportable segments: Northeast, South, West, Midwest, and Interactive. Our gaming and racing properties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grouped by geographic location, and each is viewed as an operating segment with the exception of our two properties in Jackpot, Nevada, which are viewed as one operating segment. We consider our combined Video Gaming Terminal (“VGT”) operations, by state, to be separate operating segments.</w:t>
      </w:r>
    </w:p>
    <w:p>
      <w:pPr>
        <w:spacing w:after="0" w:line="200" w:lineRule="exact"/>
        <w:rPr>
          <w:sz w:val="20"/>
          <w:szCs w:val="20"/>
          <w:color w:val="auto"/>
        </w:rPr>
      </w:pPr>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179705</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300" w:firstLine="319"/>
        <w:spacing w:after="0" w:line="260" w:lineRule="auto"/>
        <w:rPr>
          <w:sz w:val="20"/>
          <w:szCs w:val="20"/>
          <w:color w:val="auto"/>
        </w:rPr>
      </w:pPr>
      <w:r>
        <w:rPr>
          <w:rFonts w:ascii="Times New Roman" w:cs="Times New Roman" w:eastAsia="Times New Roman" w:hAnsi="Times New Roman"/>
          <w:sz w:val="18"/>
          <w:szCs w:val="18"/>
          <w:color w:val="auto"/>
        </w:rPr>
        <w:t>The Northeast, South, West, and Midwest segments (referred to as our “retail segments”) primarily generate revenue from gaming operations (such as slot machines and table games), food and beverage offerings, and hotel visitation. The Interactive segment includes all of our OSB, iCasino, and social gaming (collectively referred to as “online gaming”) operations, management of retail sports betting, and media operations.</w:t>
      </w:r>
    </w:p>
    <w:p>
      <w:pPr>
        <w:spacing w:after="0" w:line="151" w:lineRule="exact"/>
        <w:rPr>
          <w:sz w:val="20"/>
          <w:szCs w:val="20"/>
          <w:color w:val="auto"/>
        </w:rPr>
      </w:pPr>
    </w:p>
    <w:p>
      <w:pPr>
        <w:ind w:right="480" w:firstLine="319"/>
        <w:spacing w:after="0" w:line="275"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13, “Segment Information”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FF"/>
        </w:rPr>
        <w:t>Note 6, “Leases”</w:t>
      </w:r>
      <w:r>
        <w:rPr>
          <w:rFonts w:ascii="Times New Roman" w:cs="Times New Roman" w:eastAsia="Times New Roman" w:hAnsi="Times New Roman"/>
          <w:sz w:val="18"/>
          <w:szCs w:val="18"/>
          <w:color w:val="auto"/>
        </w:rPr>
        <w:t xml:space="preserve"> for further segment and lease structure information, respectively. For financial reporting purposes, we aggregate our operating segments into the following reportable segments: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2720" w:type="dxa"/>
            <w:vAlign w:val="bottom"/>
            <w:gridSpan w:val="2"/>
            <w:vMerge w:val="restart"/>
          </w:tcPr>
          <w:p>
            <w:pPr>
              <w:ind w:left="104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Real Estate Assets Lease or Ownership</w:t>
            </w:r>
          </w:p>
        </w:tc>
        <w:tc>
          <w:tcPr>
            <w:tcW w:w="0" w:type="dxa"/>
            <w:vAlign w:val="bottom"/>
          </w:tcPr>
          <w:p>
            <w:pPr>
              <w:spacing w:after="0"/>
              <w:rPr>
                <w:sz w:val="1"/>
                <w:szCs w:val="1"/>
                <w:color w:val="auto"/>
              </w:rPr>
            </w:pPr>
          </w:p>
        </w:tc>
      </w:tr>
      <w:tr>
        <w:trPr>
          <w:trHeight w:val="192"/>
        </w:trPr>
        <w:tc>
          <w:tcPr>
            <w:tcW w:w="5800" w:type="dxa"/>
            <w:vAlign w:val="bottom"/>
          </w:tcPr>
          <w:p>
            <w:pPr>
              <w:spacing w:after="0"/>
              <w:rPr>
                <w:sz w:val="16"/>
                <w:szCs w:val="16"/>
                <w:color w:val="auto"/>
              </w:rPr>
            </w:pPr>
          </w:p>
        </w:tc>
        <w:tc>
          <w:tcPr>
            <w:tcW w:w="2720" w:type="dxa"/>
            <w:vAlign w:val="bottom"/>
            <w:gridSpan w:val="2"/>
            <w:vMerge w:val="continue"/>
          </w:tcPr>
          <w:p>
            <w:pPr>
              <w:spacing w:after="0"/>
              <w:rPr>
                <w:sz w:val="16"/>
                <w:szCs w:val="16"/>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Structure</w:t>
            </w:r>
          </w:p>
        </w:tc>
        <w:tc>
          <w:tcPr>
            <w:tcW w:w="0" w:type="dxa"/>
            <w:vAlign w:val="bottom"/>
          </w:tcPr>
          <w:p>
            <w:pPr>
              <w:spacing w:after="0"/>
              <w:rPr>
                <w:sz w:val="1"/>
                <w:szCs w:val="1"/>
                <w:color w:val="auto"/>
              </w:rPr>
            </w:pPr>
          </w:p>
        </w:tc>
      </w:tr>
      <w:tr>
        <w:trPr>
          <w:trHeight w:val="178"/>
        </w:trPr>
        <w:tc>
          <w:tcPr>
            <w:tcW w:w="5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Northeast segment</w:t>
            </w:r>
          </w:p>
        </w:tc>
        <w:tc>
          <w:tcPr>
            <w:tcW w:w="26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72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5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Ameristar East Chicago</w:t>
            </w: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East Chicago, Indiana</w:t>
            </w:r>
          </w:p>
        </w:tc>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Pinnacle Master Lease</w:t>
            </w:r>
          </w:p>
        </w:tc>
        <w:tc>
          <w:tcPr>
            <w:tcW w:w="0" w:type="dxa"/>
            <w:vAlign w:val="bottom"/>
          </w:tcPr>
          <w:p>
            <w:pPr>
              <w:spacing w:after="0"/>
              <w:rPr>
                <w:sz w:val="1"/>
                <w:szCs w:val="1"/>
                <w:color w:val="auto"/>
              </w:rPr>
            </w:pPr>
          </w:p>
        </w:tc>
      </w:tr>
      <w:tr>
        <w:trPr>
          <w:trHeight w:val="24"/>
        </w:trPr>
        <w:tc>
          <w:tcPr>
            <w:tcW w:w="58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Hollywood Casino Bangor</w:t>
            </w:r>
          </w:p>
        </w:tc>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Bangor, Maine</w:t>
            </w:r>
          </w:p>
        </w:tc>
        <w:tc>
          <w:tcPr>
            <w:tcW w:w="2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AR PENN Master Lease</w:t>
            </w:r>
          </w:p>
        </w:tc>
        <w:tc>
          <w:tcPr>
            <w:tcW w:w="0" w:type="dxa"/>
            <w:vAlign w:val="bottom"/>
          </w:tcPr>
          <w:p>
            <w:pPr>
              <w:spacing w:after="0"/>
              <w:rPr>
                <w:sz w:val="1"/>
                <w:szCs w:val="1"/>
                <w:color w:val="auto"/>
              </w:rPr>
            </w:pPr>
          </w:p>
        </w:tc>
      </w:tr>
      <w:tr>
        <w:trPr>
          <w:trHeight w:val="188"/>
        </w:trPr>
        <w:tc>
          <w:tcPr>
            <w:tcW w:w="5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Hollywood Casino at Charles Town Races</w:t>
            </w: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Charles Town, West Virginia</w:t>
            </w:r>
          </w:p>
        </w:tc>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AR PENN Master Lease</w:t>
            </w:r>
          </w:p>
        </w:tc>
        <w:tc>
          <w:tcPr>
            <w:tcW w:w="0" w:type="dxa"/>
            <w:vAlign w:val="bottom"/>
          </w:tcPr>
          <w:p>
            <w:pPr>
              <w:spacing w:after="0"/>
              <w:rPr>
                <w:sz w:val="1"/>
                <w:szCs w:val="1"/>
                <w:color w:val="auto"/>
              </w:rPr>
            </w:pPr>
          </w:p>
        </w:tc>
      </w:tr>
      <w:tr>
        <w:trPr>
          <w:trHeight w:val="24"/>
        </w:trPr>
        <w:tc>
          <w:tcPr>
            <w:tcW w:w="58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Hollywood Casino Columbus</w:t>
            </w:r>
          </w:p>
        </w:tc>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Columbus, Ohio</w:t>
            </w:r>
          </w:p>
        </w:tc>
        <w:tc>
          <w:tcPr>
            <w:tcW w:w="2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2023 Master Lease</w:t>
            </w:r>
          </w:p>
        </w:tc>
        <w:tc>
          <w:tcPr>
            <w:tcW w:w="0" w:type="dxa"/>
            <w:vAlign w:val="bottom"/>
          </w:tcPr>
          <w:p>
            <w:pPr>
              <w:spacing w:after="0"/>
              <w:rPr>
                <w:sz w:val="1"/>
                <w:szCs w:val="1"/>
                <w:color w:val="auto"/>
              </w:rPr>
            </w:pPr>
          </w:p>
        </w:tc>
      </w:tr>
      <w:tr>
        <w:trPr>
          <w:trHeight w:val="188"/>
        </w:trPr>
        <w:tc>
          <w:tcPr>
            <w:tcW w:w="5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Hollywood Casino at Greektown</w:t>
            </w: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Detroit, Michigan</w:t>
            </w:r>
          </w:p>
        </w:tc>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VICI Master Lease</w:t>
            </w:r>
          </w:p>
        </w:tc>
        <w:tc>
          <w:tcPr>
            <w:tcW w:w="0" w:type="dxa"/>
            <w:vAlign w:val="bottom"/>
          </w:tcPr>
          <w:p>
            <w:pPr>
              <w:spacing w:after="0"/>
              <w:rPr>
                <w:sz w:val="1"/>
                <w:szCs w:val="1"/>
                <w:color w:val="auto"/>
              </w:rPr>
            </w:pPr>
          </w:p>
        </w:tc>
      </w:tr>
      <w:tr>
        <w:trPr>
          <w:trHeight w:val="24"/>
        </w:trPr>
        <w:tc>
          <w:tcPr>
            <w:tcW w:w="58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Hollywood Casino Lawrenceburg</w:t>
            </w:r>
          </w:p>
        </w:tc>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Lawrenceburg, Indiana</w:t>
            </w:r>
          </w:p>
        </w:tc>
        <w:tc>
          <w:tcPr>
            <w:tcW w:w="2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AR PENN Master Lease</w:t>
            </w:r>
          </w:p>
        </w:tc>
        <w:tc>
          <w:tcPr>
            <w:tcW w:w="0" w:type="dxa"/>
            <w:vAlign w:val="bottom"/>
          </w:tcPr>
          <w:p>
            <w:pPr>
              <w:spacing w:after="0"/>
              <w:rPr>
                <w:sz w:val="1"/>
                <w:szCs w:val="1"/>
                <w:color w:val="auto"/>
              </w:rPr>
            </w:pPr>
          </w:p>
        </w:tc>
      </w:tr>
      <w:tr>
        <w:trPr>
          <w:trHeight w:val="212"/>
        </w:trPr>
        <w:tc>
          <w:tcPr>
            <w:tcW w:w="5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Hollywood Casino Morgantown</w:t>
            </w: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Morgantown, Pennsylvania</w:t>
            </w:r>
          </w:p>
        </w:tc>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 xml:space="preserve">Morgantown Lease </w:t>
            </w:r>
            <w:r>
              <w:rPr>
                <w:rFonts w:ascii="Times New Roman" w:cs="Times New Roman" w:eastAsia="Times New Roman" w:hAnsi="Times New Roman"/>
                <w:sz w:val="18"/>
                <w:szCs w:val="18"/>
                <w:color w:val="auto"/>
                <w:w w:val="98"/>
                <w:vertAlign w:val="superscript"/>
              </w:rPr>
              <w:t>(1)</w:t>
            </w:r>
          </w:p>
        </w:tc>
        <w:tc>
          <w:tcPr>
            <w:tcW w:w="0" w:type="dxa"/>
            <w:vAlign w:val="bottom"/>
          </w:tcPr>
          <w:p>
            <w:pPr>
              <w:spacing w:after="0"/>
              <w:rPr>
                <w:sz w:val="1"/>
                <w:szCs w:val="1"/>
                <w:color w:val="auto"/>
              </w:rPr>
            </w:pPr>
          </w:p>
        </w:tc>
      </w:tr>
      <w:tr>
        <w:trPr>
          <w:trHeight w:val="192"/>
        </w:trPr>
        <w:tc>
          <w:tcPr>
            <w:tcW w:w="5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Hollywood Casino at PENN National Race Course</w:t>
            </w:r>
          </w:p>
        </w:tc>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Grantville, Pennsylvania</w:t>
            </w:r>
          </w:p>
        </w:tc>
        <w:tc>
          <w:tcPr>
            <w:tcW w:w="2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AR PENN Master Lease</w:t>
            </w:r>
          </w:p>
        </w:tc>
        <w:tc>
          <w:tcPr>
            <w:tcW w:w="0" w:type="dxa"/>
            <w:vAlign w:val="bottom"/>
          </w:tcPr>
          <w:p>
            <w:pPr>
              <w:spacing w:after="0"/>
              <w:rPr>
                <w:sz w:val="1"/>
                <w:szCs w:val="1"/>
                <w:color w:val="auto"/>
              </w:rPr>
            </w:pPr>
          </w:p>
        </w:tc>
      </w:tr>
      <w:tr>
        <w:trPr>
          <w:trHeight w:val="188"/>
        </w:trPr>
        <w:tc>
          <w:tcPr>
            <w:tcW w:w="5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Hollywood Casino Perryville</w:t>
            </w: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Perryville, Maryland</w:t>
            </w:r>
          </w:p>
        </w:tc>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2023 Master Lease</w:t>
            </w:r>
          </w:p>
        </w:tc>
        <w:tc>
          <w:tcPr>
            <w:tcW w:w="0" w:type="dxa"/>
            <w:vAlign w:val="bottom"/>
          </w:tcPr>
          <w:p>
            <w:pPr>
              <w:spacing w:after="0"/>
              <w:rPr>
                <w:sz w:val="1"/>
                <w:szCs w:val="1"/>
                <w:color w:val="auto"/>
              </w:rPr>
            </w:pPr>
          </w:p>
        </w:tc>
      </w:tr>
      <w:tr>
        <w:trPr>
          <w:trHeight w:val="24"/>
        </w:trPr>
        <w:tc>
          <w:tcPr>
            <w:tcW w:w="58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Hollywood Casino at The Meadows</w:t>
            </w:r>
          </w:p>
        </w:tc>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Washington, Pennsylvania</w:t>
            </w:r>
          </w:p>
        </w:tc>
        <w:tc>
          <w:tcPr>
            <w:tcW w:w="2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2023 Master Lease</w:t>
            </w:r>
          </w:p>
        </w:tc>
        <w:tc>
          <w:tcPr>
            <w:tcW w:w="0" w:type="dxa"/>
            <w:vAlign w:val="bottom"/>
          </w:tcPr>
          <w:p>
            <w:pPr>
              <w:spacing w:after="0"/>
              <w:rPr>
                <w:sz w:val="1"/>
                <w:szCs w:val="1"/>
                <w:color w:val="auto"/>
              </w:rPr>
            </w:pPr>
          </w:p>
        </w:tc>
      </w:tr>
      <w:tr>
        <w:trPr>
          <w:trHeight w:val="188"/>
        </w:trPr>
        <w:tc>
          <w:tcPr>
            <w:tcW w:w="5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Hollywood Casino Toledo</w:t>
            </w: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Toledo, Ohio</w:t>
            </w:r>
          </w:p>
        </w:tc>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2023 Master Lease</w:t>
            </w:r>
          </w:p>
        </w:tc>
        <w:tc>
          <w:tcPr>
            <w:tcW w:w="0" w:type="dxa"/>
            <w:vAlign w:val="bottom"/>
          </w:tcPr>
          <w:p>
            <w:pPr>
              <w:spacing w:after="0"/>
              <w:rPr>
                <w:sz w:val="1"/>
                <w:szCs w:val="1"/>
                <w:color w:val="auto"/>
              </w:rPr>
            </w:pPr>
          </w:p>
        </w:tc>
      </w:tr>
      <w:tr>
        <w:trPr>
          <w:trHeight w:val="24"/>
        </w:trPr>
        <w:tc>
          <w:tcPr>
            <w:tcW w:w="58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Hollywood Casino York</w:t>
            </w:r>
          </w:p>
        </w:tc>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York, Pennsylvania</w:t>
            </w:r>
          </w:p>
        </w:tc>
        <w:tc>
          <w:tcPr>
            <w:tcW w:w="2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Operating Lease (not with REIT Landlord)</w:t>
            </w:r>
          </w:p>
        </w:tc>
        <w:tc>
          <w:tcPr>
            <w:tcW w:w="0" w:type="dxa"/>
            <w:vAlign w:val="bottom"/>
          </w:tcPr>
          <w:p>
            <w:pPr>
              <w:spacing w:after="0"/>
              <w:rPr>
                <w:sz w:val="1"/>
                <w:szCs w:val="1"/>
                <w:color w:val="auto"/>
              </w:rPr>
            </w:pPr>
          </w:p>
        </w:tc>
      </w:tr>
      <w:tr>
        <w:trPr>
          <w:trHeight w:val="188"/>
        </w:trPr>
        <w:tc>
          <w:tcPr>
            <w:tcW w:w="5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Hollywood Gaming at Dayton Raceway</w:t>
            </w: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Dayton, Ohio</w:t>
            </w:r>
          </w:p>
        </w:tc>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AR PENN Master Lease</w:t>
            </w:r>
          </w:p>
        </w:tc>
        <w:tc>
          <w:tcPr>
            <w:tcW w:w="0" w:type="dxa"/>
            <w:vAlign w:val="bottom"/>
          </w:tcPr>
          <w:p>
            <w:pPr>
              <w:spacing w:after="0"/>
              <w:rPr>
                <w:sz w:val="1"/>
                <w:szCs w:val="1"/>
                <w:color w:val="auto"/>
              </w:rPr>
            </w:pPr>
          </w:p>
        </w:tc>
      </w:tr>
      <w:tr>
        <w:trPr>
          <w:trHeight w:val="24"/>
        </w:trPr>
        <w:tc>
          <w:tcPr>
            <w:tcW w:w="58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Hollywood Gaming at Mahoning Valley Race Course</w:t>
            </w:r>
          </w:p>
        </w:tc>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Youngstown, Ohio</w:t>
            </w:r>
          </w:p>
        </w:tc>
        <w:tc>
          <w:tcPr>
            <w:tcW w:w="2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AR PENN Master Lease</w:t>
            </w:r>
          </w:p>
        </w:tc>
        <w:tc>
          <w:tcPr>
            <w:tcW w:w="0" w:type="dxa"/>
            <w:vAlign w:val="bottom"/>
          </w:tcPr>
          <w:p>
            <w:pPr>
              <w:spacing w:after="0"/>
              <w:rPr>
                <w:sz w:val="1"/>
                <w:szCs w:val="1"/>
                <w:color w:val="auto"/>
              </w:rPr>
            </w:pPr>
          </w:p>
        </w:tc>
      </w:tr>
      <w:tr>
        <w:trPr>
          <w:trHeight w:val="212"/>
        </w:trPr>
        <w:tc>
          <w:tcPr>
            <w:tcW w:w="5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 xml:space="preserve">Marquee by PENN </w:t>
            </w:r>
            <w:r>
              <w:rPr>
                <w:rFonts w:ascii="Times New Roman" w:cs="Times New Roman" w:eastAsia="Times New Roman" w:hAnsi="Times New Roman"/>
                <w:sz w:val="18"/>
                <w:szCs w:val="18"/>
                <w:color w:val="auto"/>
                <w:vertAlign w:val="superscript"/>
              </w:rPr>
              <w:t>(2)</w:t>
            </w: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Pennsylvania</w:t>
            </w:r>
          </w:p>
        </w:tc>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92"/>
        </w:trPr>
        <w:tc>
          <w:tcPr>
            <w:tcW w:w="5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Plainridge Park Casino</w:t>
            </w:r>
          </w:p>
        </w:tc>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Plainville, Massachusetts</w:t>
            </w:r>
          </w:p>
        </w:tc>
        <w:tc>
          <w:tcPr>
            <w:tcW w:w="2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Pinnacle Master Lease</w:t>
            </w:r>
          </w:p>
        </w:tc>
        <w:tc>
          <w:tcPr>
            <w:tcW w:w="0" w:type="dxa"/>
            <w:vAlign w:val="bottom"/>
          </w:tcPr>
          <w:p>
            <w:pPr>
              <w:spacing w:after="0"/>
              <w:rPr>
                <w:sz w:val="1"/>
                <w:szCs w:val="1"/>
                <w:color w:val="auto"/>
              </w:rPr>
            </w:pPr>
          </w:p>
        </w:tc>
      </w:tr>
      <w:tr>
        <w:trPr>
          <w:trHeight w:val="212"/>
        </w:trPr>
        <w:tc>
          <w:tcPr>
            <w:tcW w:w="58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5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South segment</w:t>
            </w:r>
          </w:p>
        </w:tc>
        <w:tc>
          <w:tcPr>
            <w:tcW w:w="26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7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1</w:t>
            </w:r>
            <w:r>
              <w:rPr>
                <w:rFonts w:ascii="Times New Roman" w:cs="Times New Roman" w:eastAsia="Times New Roman" w:hAnsi="Times New Roman"/>
                <w:sz w:val="18"/>
                <w:szCs w:val="18"/>
                <w:color w:val="auto"/>
                <w:vertAlign w:val="superscript"/>
              </w:rPr>
              <w:t>st</w:t>
            </w:r>
            <w:r>
              <w:rPr>
                <w:rFonts w:ascii="Times New Roman" w:cs="Times New Roman" w:eastAsia="Times New Roman" w:hAnsi="Times New Roman"/>
                <w:sz w:val="14"/>
                <w:szCs w:val="14"/>
                <w:color w:val="auto"/>
              </w:rPr>
              <w:t xml:space="preserve"> Jackpot Casino</w:t>
            </w: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Tunica, Mississippi</w:t>
            </w:r>
          </w:p>
        </w:tc>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AR PENN Master Lease</w:t>
            </w:r>
          </w:p>
        </w:tc>
        <w:tc>
          <w:tcPr>
            <w:tcW w:w="0" w:type="dxa"/>
            <w:vAlign w:val="bottom"/>
          </w:tcPr>
          <w:p>
            <w:pPr>
              <w:spacing w:after="0"/>
              <w:rPr>
                <w:sz w:val="1"/>
                <w:szCs w:val="1"/>
                <w:color w:val="auto"/>
              </w:rPr>
            </w:pPr>
          </w:p>
        </w:tc>
      </w:tr>
      <w:tr>
        <w:trPr>
          <w:trHeight w:val="192"/>
        </w:trPr>
        <w:tc>
          <w:tcPr>
            <w:tcW w:w="5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Ameristar Vicksburg</w:t>
            </w:r>
          </w:p>
        </w:tc>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Vicksburg, Mississippi</w:t>
            </w:r>
          </w:p>
        </w:tc>
        <w:tc>
          <w:tcPr>
            <w:tcW w:w="2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Pinnacle Master Lease</w:t>
            </w:r>
          </w:p>
        </w:tc>
        <w:tc>
          <w:tcPr>
            <w:tcW w:w="0" w:type="dxa"/>
            <w:vAlign w:val="bottom"/>
          </w:tcPr>
          <w:p>
            <w:pPr>
              <w:spacing w:after="0"/>
              <w:rPr>
                <w:sz w:val="1"/>
                <w:szCs w:val="1"/>
                <w:color w:val="auto"/>
              </w:rPr>
            </w:pPr>
          </w:p>
        </w:tc>
      </w:tr>
      <w:tr>
        <w:trPr>
          <w:trHeight w:val="188"/>
        </w:trPr>
        <w:tc>
          <w:tcPr>
            <w:tcW w:w="5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Boomtown Biloxi</w:t>
            </w: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Biloxi, Mississippi</w:t>
            </w:r>
          </w:p>
        </w:tc>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AR PENN Master Lease</w:t>
            </w:r>
          </w:p>
        </w:tc>
        <w:tc>
          <w:tcPr>
            <w:tcW w:w="0" w:type="dxa"/>
            <w:vAlign w:val="bottom"/>
          </w:tcPr>
          <w:p>
            <w:pPr>
              <w:spacing w:after="0"/>
              <w:rPr>
                <w:sz w:val="1"/>
                <w:szCs w:val="1"/>
                <w:color w:val="auto"/>
              </w:rPr>
            </w:pPr>
          </w:p>
        </w:tc>
      </w:tr>
      <w:tr>
        <w:trPr>
          <w:trHeight w:val="24"/>
        </w:trPr>
        <w:tc>
          <w:tcPr>
            <w:tcW w:w="58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Boomtown Bossier City</w:t>
            </w:r>
          </w:p>
        </w:tc>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Bossier City, Louisiana</w:t>
            </w:r>
          </w:p>
        </w:tc>
        <w:tc>
          <w:tcPr>
            <w:tcW w:w="2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Pinnacle Master Lease</w:t>
            </w:r>
          </w:p>
        </w:tc>
        <w:tc>
          <w:tcPr>
            <w:tcW w:w="0" w:type="dxa"/>
            <w:vAlign w:val="bottom"/>
          </w:tcPr>
          <w:p>
            <w:pPr>
              <w:spacing w:after="0"/>
              <w:rPr>
                <w:sz w:val="1"/>
                <w:szCs w:val="1"/>
                <w:color w:val="auto"/>
              </w:rPr>
            </w:pPr>
          </w:p>
        </w:tc>
      </w:tr>
      <w:tr>
        <w:trPr>
          <w:trHeight w:val="188"/>
        </w:trPr>
        <w:tc>
          <w:tcPr>
            <w:tcW w:w="5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Boomtown Casino New Orleans</w:t>
            </w: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Harvey, Louisiana</w:t>
            </w:r>
          </w:p>
        </w:tc>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Pinnacle Master Lease</w:t>
            </w:r>
          </w:p>
        </w:tc>
        <w:tc>
          <w:tcPr>
            <w:tcW w:w="0" w:type="dxa"/>
            <w:vAlign w:val="bottom"/>
          </w:tcPr>
          <w:p>
            <w:pPr>
              <w:spacing w:after="0"/>
              <w:rPr>
                <w:sz w:val="1"/>
                <w:szCs w:val="1"/>
                <w:color w:val="auto"/>
              </w:rPr>
            </w:pPr>
          </w:p>
        </w:tc>
      </w:tr>
      <w:tr>
        <w:trPr>
          <w:trHeight w:val="24"/>
        </w:trPr>
        <w:tc>
          <w:tcPr>
            <w:tcW w:w="58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Hollywood Casino Gulf Coast</w:t>
            </w:r>
          </w:p>
        </w:tc>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Bay St. Louis, Mississippi</w:t>
            </w:r>
          </w:p>
        </w:tc>
        <w:tc>
          <w:tcPr>
            <w:tcW w:w="2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AR PENN Master Lease</w:t>
            </w:r>
          </w:p>
        </w:tc>
        <w:tc>
          <w:tcPr>
            <w:tcW w:w="0" w:type="dxa"/>
            <w:vAlign w:val="bottom"/>
          </w:tcPr>
          <w:p>
            <w:pPr>
              <w:spacing w:after="0"/>
              <w:rPr>
                <w:sz w:val="1"/>
                <w:szCs w:val="1"/>
                <w:color w:val="auto"/>
              </w:rPr>
            </w:pPr>
          </w:p>
        </w:tc>
      </w:tr>
      <w:tr>
        <w:trPr>
          <w:trHeight w:val="188"/>
        </w:trPr>
        <w:tc>
          <w:tcPr>
            <w:tcW w:w="5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Hollywood Casino Tunica</w:t>
            </w: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Tunica, Mississippi</w:t>
            </w:r>
          </w:p>
        </w:tc>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AR PENN Master Lease</w:t>
            </w:r>
          </w:p>
        </w:tc>
        <w:tc>
          <w:tcPr>
            <w:tcW w:w="0" w:type="dxa"/>
            <w:vAlign w:val="bottom"/>
          </w:tcPr>
          <w:p>
            <w:pPr>
              <w:spacing w:after="0"/>
              <w:rPr>
                <w:sz w:val="1"/>
                <w:szCs w:val="1"/>
                <w:color w:val="auto"/>
              </w:rPr>
            </w:pPr>
          </w:p>
        </w:tc>
      </w:tr>
      <w:tr>
        <w:trPr>
          <w:trHeight w:val="24"/>
        </w:trPr>
        <w:tc>
          <w:tcPr>
            <w:tcW w:w="58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L’Auberge Baton Rouge</w:t>
            </w:r>
          </w:p>
        </w:tc>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Baton Rouge, Louisiana</w:t>
            </w:r>
          </w:p>
        </w:tc>
        <w:tc>
          <w:tcPr>
            <w:tcW w:w="2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Pinnacle Master Lease</w:t>
            </w:r>
          </w:p>
        </w:tc>
        <w:tc>
          <w:tcPr>
            <w:tcW w:w="0" w:type="dxa"/>
            <w:vAlign w:val="bottom"/>
          </w:tcPr>
          <w:p>
            <w:pPr>
              <w:spacing w:after="0"/>
              <w:rPr>
                <w:sz w:val="1"/>
                <w:szCs w:val="1"/>
                <w:color w:val="auto"/>
              </w:rPr>
            </w:pPr>
          </w:p>
        </w:tc>
      </w:tr>
      <w:tr>
        <w:trPr>
          <w:trHeight w:val="188"/>
        </w:trPr>
        <w:tc>
          <w:tcPr>
            <w:tcW w:w="5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L’Auberge Lake Charles</w:t>
            </w: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Lake Charles, Louisiana</w:t>
            </w:r>
          </w:p>
        </w:tc>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Pinnacle Master Lease</w:t>
            </w:r>
          </w:p>
        </w:tc>
        <w:tc>
          <w:tcPr>
            <w:tcW w:w="0" w:type="dxa"/>
            <w:vAlign w:val="bottom"/>
          </w:tcPr>
          <w:p>
            <w:pPr>
              <w:spacing w:after="0"/>
              <w:rPr>
                <w:sz w:val="1"/>
                <w:szCs w:val="1"/>
                <w:color w:val="auto"/>
              </w:rPr>
            </w:pPr>
          </w:p>
        </w:tc>
      </w:tr>
      <w:tr>
        <w:trPr>
          <w:trHeight w:val="24"/>
        </w:trPr>
        <w:tc>
          <w:tcPr>
            <w:tcW w:w="58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Margaritaville Resort Casino</w:t>
            </w:r>
          </w:p>
        </w:tc>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Bossier City, Louisiana</w:t>
            </w:r>
          </w:p>
        </w:tc>
        <w:tc>
          <w:tcPr>
            <w:tcW w:w="2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VICI Master Lease</w:t>
            </w:r>
          </w:p>
        </w:tc>
        <w:tc>
          <w:tcPr>
            <w:tcW w:w="0" w:type="dxa"/>
            <w:vAlign w:val="bottom"/>
          </w:tcPr>
          <w:p>
            <w:pPr>
              <w:spacing w:after="0"/>
              <w:rPr>
                <w:sz w:val="1"/>
                <w:szCs w:val="1"/>
                <w:color w:val="auto"/>
              </w:rPr>
            </w:pPr>
          </w:p>
        </w:tc>
      </w:tr>
      <w:tr>
        <w:trPr>
          <w:trHeight w:val="212"/>
        </w:trPr>
        <w:tc>
          <w:tcPr>
            <w:tcW w:w="58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5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West segment</w:t>
            </w:r>
          </w:p>
        </w:tc>
        <w:tc>
          <w:tcPr>
            <w:tcW w:w="26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7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Ameristar Black Hawk</w:t>
            </w: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Black Hawk, Colorado</w:t>
            </w:r>
          </w:p>
        </w:tc>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Pinnacle Master Lease</w:t>
            </w:r>
          </w:p>
        </w:tc>
        <w:tc>
          <w:tcPr>
            <w:tcW w:w="0" w:type="dxa"/>
            <w:vAlign w:val="bottom"/>
          </w:tcPr>
          <w:p>
            <w:pPr>
              <w:spacing w:after="0"/>
              <w:rPr>
                <w:sz w:val="1"/>
                <w:szCs w:val="1"/>
                <w:color w:val="auto"/>
              </w:rPr>
            </w:pPr>
          </w:p>
        </w:tc>
      </w:tr>
      <w:tr>
        <w:trPr>
          <w:trHeight w:val="24"/>
        </w:trPr>
        <w:tc>
          <w:tcPr>
            <w:tcW w:w="58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Cactus Petes and Horseshu</w:t>
            </w:r>
          </w:p>
        </w:tc>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Jackpot, Nevada</w:t>
            </w:r>
          </w:p>
        </w:tc>
        <w:tc>
          <w:tcPr>
            <w:tcW w:w="2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Pinnacle Master Lease</w:t>
            </w:r>
          </w:p>
        </w:tc>
        <w:tc>
          <w:tcPr>
            <w:tcW w:w="0" w:type="dxa"/>
            <w:vAlign w:val="bottom"/>
          </w:tcPr>
          <w:p>
            <w:pPr>
              <w:spacing w:after="0"/>
              <w:rPr>
                <w:sz w:val="1"/>
                <w:szCs w:val="1"/>
                <w:color w:val="auto"/>
              </w:rPr>
            </w:pPr>
          </w:p>
        </w:tc>
      </w:tr>
      <w:tr>
        <w:trPr>
          <w:trHeight w:val="188"/>
        </w:trPr>
        <w:tc>
          <w:tcPr>
            <w:tcW w:w="5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M Resort Spa Casino</w:t>
            </w: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Henderson, Nevada</w:t>
            </w:r>
          </w:p>
        </w:tc>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2023 Master Lease</w:t>
            </w:r>
          </w:p>
        </w:tc>
        <w:tc>
          <w:tcPr>
            <w:tcW w:w="0" w:type="dxa"/>
            <w:vAlign w:val="bottom"/>
          </w:tcPr>
          <w:p>
            <w:pPr>
              <w:spacing w:after="0"/>
              <w:rPr>
                <w:sz w:val="1"/>
                <w:szCs w:val="1"/>
                <w:color w:val="auto"/>
              </w:rPr>
            </w:pPr>
          </w:p>
        </w:tc>
      </w:tr>
      <w:tr>
        <w:trPr>
          <w:trHeight w:val="24"/>
        </w:trPr>
        <w:tc>
          <w:tcPr>
            <w:tcW w:w="58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Zia Park Casino</w:t>
            </w:r>
          </w:p>
        </w:tc>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Hobbs, New Mexico</w:t>
            </w:r>
          </w:p>
        </w:tc>
        <w:tc>
          <w:tcPr>
            <w:tcW w:w="2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AR PENN Master Lease</w:t>
            </w:r>
          </w:p>
        </w:tc>
        <w:tc>
          <w:tcPr>
            <w:tcW w:w="0" w:type="dxa"/>
            <w:vAlign w:val="bottom"/>
          </w:tcPr>
          <w:p>
            <w:pPr>
              <w:spacing w:after="0"/>
              <w:rPr>
                <w:sz w:val="1"/>
                <w:szCs w:val="1"/>
                <w:color w:val="auto"/>
              </w:rPr>
            </w:pPr>
          </w:p>
        </w:tc>
      </w:tr>
      <w:tr>
        <w:trPr>
          <w:trHeight w:val="212"/>
        </w:trPr>
        <w:tc>
          <w:tcPr>
            <w:tcW w:w="58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5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Midwest segment</w:t>
            </w:r>
          </w:p>
        </w:tc>
        <w:tc>
          <w:tcPr>
            <w:tcW w:w="26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7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Ameristar Council Bluffs</w:t>
            </w: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Council Bluffs, Iowa</w:t>
            </w:r>
          </w:p>
        </w:tc>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Pinnacle Master Lease</w:t>
            </w:r>
          </w:p>
        </w:tc>
        <w:tc>
          <w:tcPr>
            <w:tcW w:w="0" w:type="dxa"/>
            <w:vAlign w:val="bottom"/>
          </w:tcPr>
          <w:p>
            <w:pPr>
              <w:spacing w:after="0"/>
              <w:rPr>
                <w:sz w:val="1"/>
                <w:szCs w:val="1"/>
                <w:color w:val="auto"/>
              </w:rPr>
            </w:pPr>
          </w:p>
        </w:tc>
      </w:tr>
      <w:tr>
        <w:trPr>
          <w:trHeight w:val="24"/>
        </w:trPr>
        <w:tc>
          <w:tcPr>
            <w:tcW w:w="58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 xml:space="preserve">Argosy Casino Alton </w:t>
            </w:r>
            <w:r>
              <w:rPr>
                <w:rFonts w:ascii="Times New Roman" w:cs="Times New Roman" w:eastAsia="Times New Roman" w:hAnsi="Times New Roman"/>
                <w:sz w:val="18"/>
                <w:szCs w:val="18"/>
                <w:color w:val="auto"/>
                <w:vertAlign w:val="superscript"/>
              </w:rPr>
              <w:t>(3)</w:t>
            </w:r>
          </w:p>
        </w:tc>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Alton, Illinois</w:t>
            </w:r>
          </w:p>
        </w:tc>
        <w:tc>
          <w:tcPr>
            <w:tcW w:w="2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AR PENN Master Lease</w:t>
            </w:r>
          </w:p>
        </w:tc>
        <w:tc>
          <w:tcPr>
            <w:tcW w:w="0" w:type="dxa"/>
            <w:vAlign w:val="bottom"/>
          </w:tcPr>
          <w:p>
            <w:pPr>
              <w:spacing w:after="0"/>
              <w:rPr>
                <w:sz w:val="1"/>
                <w:szCs w:val="1"/>
                <w:color w:val="auto"/>
              </w:rPr>
            </w:pPr>
          </w:p>
        </w:tc>
      </w:tr>
      <w:tr>
        <w:trPr>
          <w:trHeight w:val="188"/>
        </w:trPr>
        <w:tc>
          <w:tcPr>
            <w:tcW w:w="5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Argosy Casino Riverside</w:t>
            </w: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Riverside, Missouri</w:t>
            </w:r>
          </w:p>
        </w:tc>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AR PENN Master Lease</w:t>
            </w:r>
          </w:p>
        </w:tc>
        <w:tc>
          <w:tcPr>
            <w:tcW w:w="0" w:type="dxa"/>
            <w:vAlign w:val="bottom"/>
          </w:tcPr>
          <w:p>
            <w:pPr>
              <w:spacing w:after="0"/>
              <w:rPr>
                <w:sz w:val="1"/>
                <w:szCs w:val="1"/>
                <w:color w:val="auto"/>
              </w:rPr>
            </w:pPr>
          </w:p>
        </w:tc>
      </w:tr>
      <w:tr>
        <w:trPr>
          <w:trHeight w:val="24"/>
        </w:trPr>
        <w:tc>
          <w:tcPr>
            <w:tcW w:w="58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Hollywood Casino Aurora</w:t>
            </w:r>
          </w:p>
        </w:tc>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Aurora, Illinois</w:t>
            </w:r>
          </w:p>
        </w:tc>
        <w:tc>
          <w:tcPr>
            <w:tcW w:w="2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2023 Master Lease</w:t>
            </w:r>
          </w:p>
        </w:tc>
        <w:tc>
          <w:tcPr>
            <w:tcW w:w="0" w:type="dxa"/>
            <w:vAlign w:val="bottom"/>
          </w:tcPr>
          <w:p>
            <w:pPr>
              <w:spacing w:after="0"/>
              <w:rPr>
                <w:sz w:val="1"/>
                <w:szCs w:val="1"/>
                <w:color w:val="auto"/>
              </w:rPr>
            </w:pPr>
          </w:p>
        </w:tc>
      </w:tr>
      <w:tr>
        <w:trPr>
          <w:trHeight w:val="188"/>
        </w:trPr>
        <w:tc>
          <w:tcPr>
            <w:tcW w:w="5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Hollywood Casino Joliet</w:t>
            </w: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Joliet, Illinois</w:t>
            </w:r>
          </w:p>
        </w:tc>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2023 Master Lease</w:t>
            </w:r>
          </w:p>
        </w:tc>
        <w:tc>
          <w:tcPr>
            <w:tcW w:w="0" w:type="dxa"/>
            <w:vAlign w:val="bottom"/>
          </w:tcPr>
          <w:p>
            <w:pPr>
              <w:spacing w:after="0"/>
              <w:rPr>
                <w:sz w:val="1"/>
                <w:szCs w:val="1"/>
                <w:color w:val="auto"/>
              </w:rPr>
            </w:pPr>
          </w:p>
        </w:tc>
      </w:tr>
      <w:tr>
        <w:trPr>
          <w:trHeight w:val="24"/>
        </w:trPr>
        <w:tc>
          <w:tcPr>
            <w:tcW w:w="58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 xml:space="preserve">Hollywood Casino at Kansas Speedway </w:t>
            </w:r>
            <w:r>
              <w:rPr>
                <w:rFonts w:ascii="Times New Roman" w:cs="Times New Roman" w:eastAsia="Times New Roman" w:hAnsi="Times New Roman"/>
                <w:sz w:val="18"/>
                <w:szCs w:val="18"/>
                <w:color w:val="auto"/>
                <w:vertAlign w:val="superscript"/>
              </w:rPr>
              <w:t>(4)</w:t>
            </w:r>
          </w:p>
        </w:tc>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Kansas City, Kansas</w:t>
            </w:r>
          </w:p>
        </w:tc>
        <w:tc>
          <w:tcPr>
            <w:tcW w:w="2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Owned - Joint Venture</w:t>
            </w:r>
          </w:p>
        </w:tc>
        <w:tc>
          <w:tcPr>
            <w:tcW w:w="0" w:type="dxa"/>
            <w:vAlign w:val="bottom"/>
          </w:tcPr>
          <w:p>
            <w:pPr>
              <w:spacing w:after="0"/>
              <w:rPr>
                <w:sz w:val="1"/>
                <w:szCs w:val="1"/>
                <w:color w:val="auto"/>
              </w:rPr>
            </w:pPr>
          </w:p>
        </w:tc>
      </w:tr>
      <w:tr>
        <w:trPr>
          <w:trHeight w:val="188"/>
        </w:trPr>
        <w:tc>
          <w:tcPr>
            <w:tcW w:w="5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Hollywood Casino St. Louis</w:t>
            </w: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Maryland Heights, Missouri</w:t>
            </w:r>
          </w:p>
        </w:tc>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AR PENN Master Lease</w:t>
            </w:r>
          </w:p>
        </w:tc>
        <w:tc>
          <w:tcPr>
            <w:tcW w:w="0" w:type="dxa"/>
            <w:vAlign w:val="bottom"/>
          </w:tcPr>
          <w:p>
            <w:pPr>
              <w:spacing w:after="0"/>
              <w:rPr>
                <w:sz w:val="1"/>
                <w:szCs w:val="1"/>
                <w:color w:val="auto"/>
              </w:rPr>
            </w:pPr>
          </w:p>
        </w:tc>
      </w:tr>
      <w:tr>
        <w:trPr>
          <w:trHeight w:val="24"/>
        </w:trPr>
        <w:tc>
          <w:tcPr>
            <w:tcW w:w="58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 xml:space="preserve">Prairie State Gaming </w:t>
            </w:r>
            <w:r>
              <w:rPr>
                <w:rFonts w:ascii="Times New Roman" w:cs="Times New Roman" w:eastAsia="Times New Roman" w:hAnsi="Times New Roman"/>
                <w:sz w:val="18"/>
                <w:szCs w:val="18"/>
                <w:color w:val="auto"/>
                <w:vertAlign w:val="superscript"/>
              </w:rPr>
              <w:t>(2)</w:t>
            </w:r>
          </w:p>
        </w:tc>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Illinois</w:t>
            </w:r>
          </w:p>
        </w:tc>
        <w:tc>
          <w:tcPr>
            <w:tcW w:w="2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88"/>
        </w:trPr>
        <w:tc>
          <w:tcPr>
            <w:tcW w:w="5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River City Casino</w:t>
            </w: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 Louis, Missouri</w:t>
            </w:r>
          </w:p>
        </w:tc>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Pinnacle Master Lease</w:t>
            </w: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640" w:hanging="315"/>
        <w:spacing w:after="0"/>
        <w:tabs>
          <w:tab w:leader="none" w:pos="64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Upon termination of the Morgantown Lease, ownership of the constructed building and all tenant improvements will transfer from the Company to GLPI.</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179705</wp:posOffset>
            </wp:positionV>
            <wp:extent cx="716026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40" w:hanging="315"/>
        <w:spacing w:after="0"/>
        <w:tabs>
          <w:tab w:leader="none" w:pos="6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VGT route operations.</w:t>
      </w:r>
    </w:p>
    <w:p>
      <w:pPr>
        <w:spacing w:after="0" w:line="64" w:lineRule="exact"/>
        <w:rPr>
          <w:rFonts w:ascii="Times New Roman" w:cs="Times New Roman" w:eastAsia="Times New Roman" w:hAnsi="Times New Roman"/>
          <w:sz w:val="14"/>
          <w:szCs w:val="14"/>
          <w:color w:val="auto"/>
        </w:rPr>
      </w:pPr>
    </w:p>
    <w:p>
      <w:pPr>
        <w:ind w:left="640" w:hanging="315"/>
        <w:spacing w:after="0"/>
        <w:tabs>
          <w:tab w:leader="none" w:pos="6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riverboat is owned by us and not subject to the AR PENN Master Lease.</w:t>
      </w:r>
    </w:p>
    <w:p>
      <w:pPr>
        <w:spacing w:after="0" w:line="64" w:lineRule="exact"/>
        <w:rPr>
          <w:rFonts w:ascii="Times New Roman" w:cs="Times New Roman" w:eastAsia="Times New Roman" w:hAnsi="Times New Roman"/>
          <w:sz w:val="14"/>
          <w:szCs w:val="14"/>
          <w:color w:val="auto"/>
        </w:rPr>
      </w:pPr>
    </w:p>
    <w:p>
      <w:pPr>
        <w:ind w:left="640" w:right="260" w:hanging="315"/>
        <w:spacing w:after="0" w:line="291" w:lineRule="auto"/>
        <w:tabs>
          <w:tab w:leader="none" w:pos="632"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a joint venture with NASCAR Holdings LLC (“NASCAR”) and includes the Company’s 50% investment in Kansas Entertainment, LLC (“Kansas Entertainment”), which owns Hollywood Casino at Kansas Speedway.</w:t>
      </w:r>
    </w:p>
    <w:p>
      <w:pPr>
        <w:spacing w:after="0" w:line="128" w:lineRule="exact"/>
        <w:rPr>
          <w:sz w:val="20"/>
          <w:szCs w:val="20"/>
          <w:color w:val="auto"/>
        </w:rPr>
      </w:pPr>
    </w:p>
    <w:p>
      <w:pPr>
        <w:ind w:right="60" w:firstLine="319"/>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Recognition: </w:t>
      </w:r>
      <w:r>
        <w:rPr>
          <w:rFonts w:ascii="Times New Roman" w:cs="Times New Roman" w:eastAsia="Times New Roman" w:hAnsi="Times New Roman"/>
          <w:sz w:val="18"/>
          <w:szCs w:val="18"/>
          <w:color w:val="auto"/>
        </w:rPr>
        <w:t>Our revenue from contracts with customers consists primarily of gaming wagers, inclusive of sports betting and iCasino products,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food and beverage transactions, hotel room sales, retail transactions, racing wagers, and third-party revenue sharing agreements. See </w:t>
      </w:r>
      <w:r>
        <w:rPr>
          <w:rFonts w:ascii="Times New Roman" w:cs="Times New Roman" w:eastAsia="Times New Roman" w:hAnsi="Times New Roman"/>
          <w:sz w:val="18"/>
          <w:szCs w:val="18"/>
          <w:u w:val="single" w:color="auto"/>
          <w:color w:val="0000FF"/>
        </w:rPr>
        <w:t>Note 4, “Revenue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Disaggregation”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for information on our revenue by type and geographic location.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Complimentaries Associated with Gaming Contracts</w:t>
      </w:r>
    </w:p>
    <w:p>
      <w:pPr>
        <w:spacing w:after="0" w:line="193" w:lineRule="exact"/>
        <w:rPr>
          <w:sz w:val="20"/>
          <w:szCs w:val="20"/>
          <w:color w:val="auto"/>
        </w:rPr>
      </w:pPr>
    </w:p>
    <w:p>
      <w:pPr>
        <w:ind w:right="20" w:firstLine="319"/>
        <w:spacing w:after="0" w:line="253" w:lineRule="auto"/>
        <w:rPr>
          <w:sz w:val="20"/>
          <w:szCs w:val="20"/>
          <w:color w:val="auto"/>
        </w:rPr>
      </w:pPr>
      <w:r>
        <w:rPr>
          <w:rFonts w:ascii="Times New Roman" w:cs="Times New Roman" w:eastAsia="Times New Roman" w:hAnsi="Times New Roman"/>
          <w:sz w:val="18"/>
          <w:szCs w:val="18"/>
          <w:color w:val="auto"/>
        </w:rPr>
        <w:t>Food, beverage, hotel, and other services furnished to patrons for free as an inducement to gamble at our retail properties or through the redemption of our customers’ loyalty points are recorded as “Food, beverage, hotel, and other” revenues at their estimated standalone selling prices, with an offset recorded as a reduction to “Gaming” revenues. The cost of providing complimentary goods and services to patrons as an inducement to gamble as well as for the fulfillment of our loyalty point obligation is included in “Food, beverage, hotel, and other” expenses. Revenues recorded to “Food, beverage, hotel, and other” and offset to “Gaming” revenues were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8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60" w:type="dxa"/>
            <w:vAlign w:val="bottom"/>
          </w:tcPr>
          <w:p>
            <w:pPr>
              <w:spacing w:after="0"/>
              <w:rPr>
                <w:sz w:val="17"/>
                <w:szCs w:val="17"/>
                <w:color w:val="auto"/>
              </w:rPr>
            </w:pPr>
          </w:p>
        </w:tc>
        <w:tc>
          <w:tcPr>
            <w:tcW w:w="2600" w:type="dxa"/>
            <w:vAlign w:val="bottom"/>
            <w:gridSpan w:val="4"/>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36"/>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80" w:type="dxa"/>
            <w:vAlign w:val="bottom"/>
            <w:tcBorders>
              <w:bottom w:val="single" w:sz="8" w:color="auto"/>
            </w:tcBorders>
          </w:tcPr>
          <w:p>
            <w:pPr>
              <w:spacing w:after="0"/>
              <w:rPr>
                <w:sz w:val="20"/>
                <w:szCs w:val="20"/>
                <w:color w:val="auto"/>
              </w:rPr>
            </w:pPr>
          </w:p>
        </w:tc>
      </w:tr>
      <w:tr>
        <w:trPr>
          <w:trHeight w:val="182"/>
        </w:trPr>
        <w:tc>
          <w:tcPr>
            <w:tcW w:w="54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40" w:type="dxa"/>
            <w:vAlign w:val="bottom"/>
          </w:tcPr>
          <w:p>
            <w:pPr>
              <w:spacing w:after="0"/>
              <w:rPr>
                <w:sz w:val="15"/>
                <w:szCs w:val="15"/>
                <w:color w:val="auto"/>
              </w:rPr>
            </w:pPr>
          </w:p>
        </w:tc>
        <w:tc>
          <w:tcPr>
            <w:tcW w:w="1140" w:type="dxa"/>
            <w:vAlign w:val="bottom"/>
          </w:tcPr>
          <w:p>
            <w:pPr>
              <w:jc w:val="right"/>
              <w:ind w:right="431"/>
              <w:spacing w:after="0" w:line="166" w:lineRule="exact"/>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jc w:val="right"/>
              <w:ind w:right="431"/>
              <w:spacing w:after="0" w:line="166" w:lineRule="exact"/>
              <w:rPr>
                <w:sz w:val="20"/>
                <w:szCs w:val="20"/>
                <w:color w:val="auto"/>
              </w:rPr>
            </w:pPr>
            <w:r>
              <w:rPr>
                <w:rFonts w:ascii="Times New Roman" w:cs="Times New Roman" w:eastAsia="Times New Roman" w:hAnsi="Times New Roman"/>
                <w:sz w:val="18"/>
                <w:szCs w:val="18"/>
                <w:b w:val="1"/>
                <w:bCs w:val="1"/>
                <w:color w:val="auto"/>
                <w:w w:val="94"/>
              </w:rPr>
              <w:t>2025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jc w:val="right"/>
              <w:ind w:right="411"/>
              <w:spacing w:after="0" w:line="166" w:lineRule="exact"/>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jc w:val="right"/>
              <w:ind w:right="431"/>
              <w:spacing w:after="0" w:line="166" w:lineRule="exact"/>
              <w:rPr>
                <w:sz w:val="20"/>
                <w:szCs w:val="20"/>
                <w:color w:val="auto"/>
              </w:rPr>
            </w:pPr>
            <w:r>
              <w:rPr>
                <w:rFonts w:ascii="Times New Roman" w:cs="Times New Roman" w:eastAsia="Times New Roman" w:hAnsi="Times New Roman"/>
                <w:sz w:val="18"/>
                <w:szCs w:val="18"/>
                <w:b w:val="1"/>
                <w:bCs w:val="1"/>
                <w:color w:val="auto"/>
                <w:w w:val="94"/>
              </w:rPr>
              <w:t>2025</w:t>
            </w:r>
          </w:p>
        </w:tc>
      </w:tr>
      <w:tr>
        <w:trPr>
          <w:trHeight w:val="33"/>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4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2"/>
        </w:trPr>
        <w:tc>
          <w:tcPr>
            <w:tcW w:w="5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Food and beverage</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w:t>
            </w:r>
          </w:p>
        </w:tc>
      </w:tr>
      <w:tr>
        <w:trPr>
          <w:trHeight w:val="239"/>
        </w:trPr>
        <w:tc>
          <w:tcPr>
            <w:tcW w:w="54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Hotel</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w:t>
            </w:r>
          </w:p>
        </w:tc>
      </w:tr>
      <w:tr>
        <w:trPr>
          <w:trHeight w:val="239"/>
        </w:trPr>
        <w:tc>
          <w:tcPr>
            <w:tcW w:w="5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32"/>
        </w:trPr>
        <w:tc>
          <w:tcPr>
            <w:tcW w:w="54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complimentaries associated with gaming contracts</w:t>
            </w: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80" w:type="dxa"/>
            <w:vAlign w:val="bottom"/>
          </w:tcPr>
          <w:p>
            <w:pPr>
              <w:spacing w:after="0"/>
              <w:rPr>
                <w:sz w:val="20"/>
                <w:szCs w:val="20"/>
                <w:color w:val="auto"/>
              </w:rPr>
            </w:pPr>
          </w:p>
        </w:tc>
        <w:tc>
          <w:tcPr>
            <w:tcW w:w="5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80" w:type="dxa"/>
            <w:vAlign w:val="bottom"/>
          </w:tcPr>
          <w:p>
            <w:pPr>
              <w:spacing w:after="0"/>
              <w:rPr>
                <w:sz w:val="20"/>
                <w:szCs w:val="20"/>
                <w:color w:val="auto"/>
              </w:rPr>
            </w:pPr>
          </w:p>
        </w:tc>
        <w:tc>
          <w:tcPr>
            <w:tcW w:w="2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312.0</w:t>
            </w:r>
          </w:p>
        </w:tc>
        <w:tc>
          <w:tcPr>
            <w:tcW w:w="100" w:type="dxa"/>
            <w:vAlign w:val="bottom"/>
          </w:tcPr>
          <w:p>
            <w:pPr>
              <w:spacing w:after="0"/>
              <w:rPr>
                <w:sz w:val="20"/>
                <w:szCs w:val="20"/>
                <w:color w:val="auto"/>
              </w:rPr>
            </w:pPr>
          </w:p>
        </w:tc>
        <w:tc>
          <w:tcPr>
            <w:tcW w:w="5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294.2</w:t>
            </w: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right="340" w:firstLine="319"/>
        <w:spacing w:after="0" w:line="275" w:lineRule="auto"/>
        <w:rPr>
          <w:sz w:val="20"/>
          <w:szCs w:val="20"/>
          <w:color w:val="auto"/>
        </w:rPr>
      </w:pPr>
      <w:r>
        <w:rPr>
          <w:rFonts w:ascii="Times New Roman" w:cs="Times New Roman" w:eastAsia="Times New Roman" w:hAnsi="Times New Roman"/>
          <w:sz w:val="18"/>
          <w:szCs w:val="18"/>
          <w:color w:val="auto"/>
        </w:rPr>
        <w:t>Additionally, the Company provides discretionary complimentaries in the form of iCasino and OSB free play bonuses. Free play bonuses provided to patrons as an inducement to gamble on the Company’s digital sports betting and iCasino apps are recorded as a reduction of “Gaming” revenues.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Customer-related Liabilities</w:t>
      </w:r>
    </w:p>
    <w:p>
      <w:pPr>
        <w:spacing w:after="0" w:line="180" w:lineRule="exact"/>
        <w:rPr>
          <w:sz w:val="20"/>
          <w:szCs w:val="20"/>
          <w:color w:val="auto"/>
        </w:rPr>
      </w:pPr>
    </w:p>
    <w:p>
      <w:pPr>
        <w:ind w:right="120" w:firstLine="319"/>
        <w:spacing w:after="0" w:line="260" w:lineRule="auto"/>
        <w:rPr>
          <w:sz w:val="20"/>
          <w:szCs w:val="20"/>
          <w:color w:val="auto"/>
        </w:rPr>
      </w:pPr>
      <w:r>
        <w:rPr>
          <w:rFonts w:ascii="Times New Roman" w:cs="Times New Roman" w:eastAsia="Times New Roman" w:hAnsi="Times New Roman"/>
          <w:sz w:val="18"/>
          <w:szCs w:val="18"/>
          <w:color w:val="auto"/>
        </w:rPr>
        <w:t>The Company has three general types of liabilities related to contracts with customers: (i) the obligation associated with its PENN Play program (loyalty points and tier status benefits), (ii) advance payments on goods and services yet to be provided and for unpaid wagers, and (iii) deferred revenue associated with third-party OSB and/or iCasino partners for OSB and iCasino market access.</w:t>
      </w:r>
    </w:p>
    <w:p>
      <w:pPr>
        <w:spacing w:after="0" w:line="151" w:lineRule="exact"/>
        <w:rPr>
          <w:sz w:val="20"/>
          <w:szCs w:val="20"/>
          <w:color w:val="auto"/>
        </w:rPr>
      </w:pPr>
    </w:p>
    <w:p>
      <w:pPr>
        <w:ind w:right="60" w:firstLine="319"/>
        <w:spacing w:after="0" w:line="253" w:lineRule="auto"/>
        <w:rPr>
          <w:sz w:val="20"/>
          <w:szCs w:val="20"/>
          <w:color w:val="auto"/>
        </w:rPr>
      </w:pPr>
      <w:r>
        <w:rPr>
          <w:rFonts w:ascii="Times New Roman" w:cs="Times New Roman" w:eastAsia="Times New Roman" w:hAnsi="Times New Roman"/>
          <w:sz w:val="18"/>
          <w:szCs w:val="18"/>
          <w:color w:val="auto"/>
        </w:rPr>
        <w:t>Our PENN Play program connects the Company’s brands under one loyalty program and allows members to earn loyalty points, or “PENN Cash,” redeemable for slot play and complimentaries, such as food and beverage at our restaurants, lodging at our hotels, redemptions at the PENN Play marketplace that features popular retailers, and products offered at our retail stores across the vast majority of our properties. In addition, members of the PENN Play program earn credit toward tier status, which entitles them to receive certain other benefits, such as priority access, discounts, gifts, trips to PENN destinations, partner experiences, and PENN Cash.</w:t>
      </w:r>
    </w:p>
    <w:p>
      <w:pPr>
        <w:spacing w:after="0" w:line="144" w:lineRule="exact"/>
        <w:rPr>
          <w:sz w:val="20"/>
          <w:szCs w:val="20"/>
          <w:color w:val="auto"/>
        </w:rPr>
      </w:pPr>
    </w:p>
    <w:p>
      <w:pPr>
        <w:ind w:right="60" w:firstLine="319"/>
        <w:spacing w:after="0" w:line="253" w:lineRule="auto"/>
        <w:rPr>
          <w:sz w:val="20"/>
          <w:szCs w:val="20"/>
          <w:color w:val="auto"/>
        </w:rPr>
      </w:pPr>
      <w:r>
        <w:rPr>
          <w:rFonts w:ascii="Times New Roman" w:cs="Times New Roman" w:eastAsia="Times New Roman" w:hAnsi="Times New Roman"/>
          <w:sz w:val="18"/>
          <w:szCs w:val="18"/>
          <w:color w:val="auto"/>
        </w:rPr>
        <w:t>The obligation associated with our PENN Play program, which is included in “Accrued expenses and other current liabilities” within the unaudited Consolidated Balance Sheets, was $26.7 million and $29.8 million as of September 30, 2026 and December 31, 2025, respectively, and consisted primarily of the obligation associated with the loyalty points. Our loyalty point obligations are generally settled within six months of issuance. Changes between the opening and closing balances primarily relate to the timing of our customers’ election to redeem loyalty points as well as the timing of when our customers receive their earned tier status benefits.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179705</wp:posOffset>
            </wp:positionV>
            <wp:extent cx="716026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140" w:firstLine="319"/>
        <w:spacing w:after="0" w:line="272" w:lineRule="auto"/>
        <w:rPr>
          <w:sz w:val="20"/>
          <w:szCs w:val="20"/>
          <w:color w:val="auto"/>
        </w:rPr>
      </w:pPr>
      <w:r>
        <w:rPr>
          <w:rFonts w:ascii="Times New Roman" w:cs="Times New Roman" w:eastAsia="Times New Roman" w:hAnsi="Times New Roman"/>
          <w:sz w:val="17"/>
          <w:szCs w:val="17"/>
          <w:color w:val="auto"/>
        </w:rPr>
        <w:t>The Company’s advance payments on goods and services yet to be provided and for unpaid wagers primarily consist of the following: (i) deposits on rooms and convention space; (ii) money deposited on behalf of a customer in advance of their property visit (referred to as “safekeeping” or “front money”);</w:t>
      </w:r>
    </w:p>
    <w:p>
      <w:pPr>
        <w:spacing w:after="0" w:line="1" w:lineRule="exact"/>
        <w:rPr>
          <w:sz w:val="20"/>
          <w:szCs w:val="20"/>
          <w:color w:val="auto"/>
        </w:rPr>
      </w:pPr>
    </w:p>
    <w:p>
      <w:pPr>
        <w:ind w:right="120" w:firstLine="6"/>
        <w:spacing w:after="0" w:line="266" w:lineRule="auto"/>
        <w:tabs>
          <w:tab w:leader="none" w:pos="31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money deposited in an online wallet not yet wagered; (iv) money deposited in an online wallet for pending and concluded wagers not yet withdrawn; (v) outstanding tickets generated by slot machine play, sports betting, or pari-mutuel wagering; (vi) outstanding chip liabilities; and (vii) unclaimed jackpots. Unpaid wagers generally represent obligations stemming from prior wagering events, of which revenue was previously recognized. The Company’s advance payments on goods and services yet to be provided and for unpaid wagers were $114.9 million and $133.7 million as of September 30, 2026 and December 31, 2025, respectively, and are included in “Accrued expenses and other current liabilities” within the unaudited Consolidated Balance Sheets.</w:t>
      </w:r>
    </w:p>
    <w:p>
      <w:pPr>
        <w:spacing w:after="0" w:line="146" w:lineRule="exact"/>
        <w:rPr>
          <w:sz w:val="20"/>
          <w:szCs w:val="20"/>
          <w:color w:val="auto"/>
        </w:rPr>
      </w:pPr>
    </w:p>
    <w:p>
      <w:pPr>
        <w:ind w:right="100" w:firstLine="319"/>
        <w:spacing w:after="0" w:line="275" w:lineRule="auto"/>
        <w:rPr>
          <w:sz w:val="20"/>
          <w:szCs w:val="20"/>
          <w:color w:val="auto"/>
        </w:rPr>
      </w:pPr>
      <w:r>
        <w:rPr>
          <w:rFonts w:ascii="Times New Roman" w:cs="Times New Roman" w:eastAsia="Times New Roman" w:hAnsi="Times New Roman"/>
          <w:sz w:val="18"/>
          <w:szCs w:val="18"/>
          <w:color w:val="auto"/>
        </w:rPr>
        <w:t>The Company’s deferred revenue is primarily related to PENN Interactive, which enters into multi-year agreements with third-party OSB and/or iCasino partners for OSB and iCasino market access across our portfolio of properties.</w:t>
      </w:r>
    </w:p>
    <w:p>
      <w:pPr>
        <w:spacing w:after="0" w:line="123" w:lineRule="exact"/>
        <w:rPr>
          <w:sz w:val="20"/>
          <w:szCs w:val="20"/>
          <w:color w:val="auto"/>
        </w:rPr>
      </w:pPr>
    </w:p>
    <w:p>
      <w:pPr>
        <w:ind w:right="20" w:firstLine="319"/>
        <w:spacing w:after="0" w:line="253" w:lineRule="auto"/>
        <w:rPr>
          <w:sz w:val="20"/>
          <w:szCs w:val="20"/>
          <w:color w:val="auto"/>
        </w:rPr>
      </w:pPr>
      <w:r>
        <w:rPr>
          <w:rFonts w:ascii="Times New Roman" w:cs="Times New Roman" w:eastAsia="Times New Roman" w:hAnsi="Times New Roman"/>
          <w:sz w:val="18"/>
          <w:szCs w:val="18"/>
          <w:color w:val="auto"/>
        </w:rPr>
        <w:t>As of September 30, 2026 and December 31, 2025, our deferred revenue balance was $35.3 million and $34.1 million, respectively, the majority of which is included in “Other long-term liabilities” within the unaudited Consolidated Balance Sheets. During the three and nine months ended September 30, 2026, we recognized revenue of $1.6 million and $5.0 million, respectively, that was included in the December 31, 2025 deferred revenue balance. During the three and nine months ended September 30, 2025, we recognized revenue of $1.2 million and $5.9 million, respectively, that was included in the December 31, 2024 deferred revenue balance.</w:t>
      </w:r>
    </w:p>
    <w:p>
      <w:pPr>
        <w:spacing w:after="0" w:line="140" w:lineRule="exact"/>
        <w:rPr>
          <w:sz w:val="20"/>
          <w:szCs w:val="20"/>
          <w:color w:val="auto"/>
        </w:rPr>
      </w:pPr>
    </w:p>
    <w:p>
      <w:pPr>
        <w:ind w:right="140" w:firstLine="31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Advertising: </w:t>
      </w:r>
      <w:r>
        <w:rPr>
          <w:rFonts w:ascii="Times New Roman" w:cs="Times New Roman" w:eastAsia="Times New Roman" w:hAnsi="Times New Roman"/>
          <w:sz w:val="18"/>
          <w:szCs w:val="18"/>
          <w:color w:val="auto"/>
        </w:rPr>
        <w:t>The Company expenses advertising costs the first time the advertising takes place or as incurred. Advertising expenses, which generally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relate to media placement costs and are primarily included in “Gaming” expenses within the unaudited Consolidated Statements of Operations were $52.8 million and $85.1 million for the three months ended September 30, 2026 and 2025, respectively, and $136.3 million and $270.5 million for the nine months ended September 30, 2026 and 2025, respectively. During the three and nine months ended September 30, 2025, advertising expense included media marketing services and brand and other rights provided by ESPN, Inc. and ESPN Enterprises Inc. (together, “ESPN”) pursuant to the Sportsbook Agreement (the “Sportsbook Agreement”) which was terminated on November 5, 2025.</w:t>
      </w:r>
    </w:p>
    <w:p>
      <w:pPr>
        <w:spacing w:after="0" w:line="152" w:lineRule="exact"/>
        <w:rPr>
          <w:sz w:val="20"/>
          <w:szCs w:val="20"/>
          <w:color w:val="auto"/>
        </w:rPr>
      </w:pPr>
    </w:p>
    <w:p>
      <w:pPr>
        <w:ind w:firstLine="319"/>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Gaming and Pari-mutuel Taxes: </w:t>
      </w:r>
      <w:r>
        <w:rPr>
          <w:rFonts w:ascii="Times New Roman" w:cs="Times New Roman" w:eastAsia="Times New Roman" w:hAnsi="Times New Roman"/>
          <w:sz w:val="18"/>
          <w:szCs w:val="18"/>
          <w:color w:val="auto"/>
        </w:rPr>
        <w:t>We are subject to gaming and pari-mutuel taxes based on gross gaming revenue and pari-mutuel revenue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jurisdictions in which we operate, as well as taxes on revenues derived from arrangements which allow for third-party OSB and/or iCasino partners to conduct OSB and iCasino operations under our gaming licenses. The Company primarily recognizes gaming and pari-mutuel tax expense based on the statutorily required percentage of revenue that is required to be paid to state, provincial and/or local jurisdictions in the states and provinces where or in which the wagering occurs. Also included in gaming and pari-mutuel taxes are costs to support the operations of local regulatory authorities which some jurisdictions require us to pay. Gaming and pari-mutuel taxes are recorded in “Gaming” expenses or “Food, beverage, hotel, and other” expenses within the unaudited Consolidated Statements of Operations and were $693.5 million and $630.7 million for the three months ended September 30, 2026 and 2025, respectively, and $2.1 billion and $1.9 billion for the nine months ended September 30, 2026 and 2025, respectively.</w:t>
      </w:r>
    </w:p>
    <w:p>
      <w:pPr>
        <w:spacing w:after="0" w:line="141" w:lineRule="exact"/>
        <w:rPr>
          <w:sz w:val="20"/>
          <w:szCs w:val="20"/>
          <w:color w:val="auto"/>
        </w:rPr>
      </w:pPr>
    </w:p>
    <w:p>
      <w:pPr>
        <w:ind w:right="20" w:firstLine="31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Foreign Currency Translation: </w:t>
      </w:r>
      <w:r>
        <w:rPr>
          <w:rFonts w:ascii="Times New Roman" w:cs="Times New Roman" w:eastAsia="Times New Roman" w:hAnsi="Times New Roman"/>
          <w:sz w:val="18"/>
          <w:szCs w:val="18"/>
          <w:color w:val="auto"/>
        </w:rPr>
        <w:t>The functional currency of the Company’s foreign subsidiaries is the local currency in which the subsidiary operates.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Balance sheet accounts are translated at the exchange rate in effect at each balance sheet date. Translation adjustments resulting from this process are recorded to other comprehensive income or loss. Revenues and expenses are typically translated at the average exchange rates during the year. Gains or losses resulting from foreign currency transactions are included in “Other” within the unaudited Consolidated Statements of Operations.</w:t>
      </w:r>
    </w:p>
    <w:p>
      <w:pPr>
        <w:spacing w:after="0" w:line="136" w:lineRule="exact"/>
        <w:rPr>
          <w:sz w:val="20"/>
          <w:szCs w:val="20"/>
          <w:color w:val="auto"/>
        </w:rPr>
      </w:pPr>
    </w:p>
    <w:p>
      <w:pPr>
        <w:ind w:right="200" w:firstLine="319"/>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Comprehensive Income or Loss and Accumulated Other Comprehensive Income or Loss: </w:t>
      </w:r>
      <w:r>
        <w:rPr>
          <w:rFonts w:ascii="Times New Roman" w:cs="Times New Roman" w:eastAsia="Times New Roman" w:hAnsi="Times New Roman"/>
          <w:sz w:val="18"/>
          <w:szCs w:val="18"/>
          <w:color w:val="auto"/>
        </w:rPr>
        <w:t>Comprehensive income or loss includes net income or loss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all other non-stockholder changes in equity, or other comprehensive income or loss. The balance of accumulated other comprehensive income or loss consists of foreign currency translation adjustments and unrealized gains or losses on debt securities.</w:t>
      </w:r>
    </w:p>
    <w:p>
      <w:pPr>
        <w:spacing w:after="0" w:line="143" w:lineRule="exact"/>
        <w:rPr>
          <w:sz w:val="20"/>
          <w:szCs w:val="20"/>
          <w:color w:val="auto"/>
        </w:rPr>
      </w:pPr>
    </w:p>
    <w:p>
      <w:pPr>
        <w:ind w:right="100" w:firstLine="31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Earnings or Loss Per Share: </w:t>
      </w:r>
      <w:r>
        <w:rPr>
          <w:rFonts w:ascii="Times New Roman" w:cs="Times New Roman" w:eastAsia="Times New Roman" w:hAnsi="Times New Roman"/>
          <w:sz w:val="18"/>
          <w:szCs w:val="18"/>
          <w:color w:val="auto"/>
        </w:rPr>
        <w:t>Basic earnings or loss per share (“EPS”) is computed by dividing net income or loss applicable to common stock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weighted-average number of common shares outstanding during the period. Diluted EPS reflects the additional dilution, if any, for all potentially-dilutive securities such as warrants, stock options, unvested restricted stock awards (“RSAs”) and restricted stock units (“RSUs”) (collectively with RSAs, “restricted stock”), outstanding preferred stock, and convertible debt.</w:t>
      </w:r>
    </w:p>
    <w:p>
      <w:pPr>
        <w:spacing w:after="0" w:line="136" w:lineRule="exact"/>
        <w:rPr>
          <w:sz w:val="20"/>
          <w:szCs w:val="20"/>
          <w:color w:val="auto"/>
        </w:rPr>
      </w:pPr>
    </w:p>
    <w:p>
      <w:pPr>
        <w:ind w:right="520" w:firstLine="319"/>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 xml:space="preserve">Guarantees and Indemnifications: </w:t>
      </w:r>
      <w:r>
        <w:rPr>
          <w:rFonts w:ascii="Times New Roman" w:cs="Times New Roman" w:eastAsia="Times New Roman" w:hAnsi="Times New Roman"/>
          <w:sz w:val="18"/>
          <w:szCs w:val="18"/>
          <w:color w:val="auto"/>
        </w:rPr>
        <w:t>The Company accounts for indemnity obligations in accordance with ASC Topic 460-20, “Contingencies”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records a liability at fair value. See </w:t>
      </w:r>
      <w:r>
        <w:rPr>
          <w:rFonts w:ascii="Times New Roman" w:cs="Times New Roman" w:eastAsia="Times New Roman" w:hAnsi="Times New Roman"/>
          <w:sz w:val="18"/>
          <w:szCs w:val="18"/>
          <w:u w:val="single" w:color="auto"/>
          <w:color w:val="0000FF"/>
        </w:rPr>
        <w:t>Note 9, “Commitments and Contingencies”</w:t>
      </w:r>
      <w:r>
        <w:rPr>
          <w:rFonts w:ascii="Times New Roman" w:cs="Times New Roman" w:eastAsia="Times New Roman" w:hAnsi="Times New Roman"/>
          <w:sz w:val="18"/>
          <w:szCs w:val="18"/>
          <w:color w:val="auto"/>
        </w:rPr>
        <w:t xml:space="preserve"> for more information.</w:t>
      </w: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179705</wp:posOffset>
            </wp:positionV>
            <wp:extent cx="716026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3—New Accounting Pronouncements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Adopted</w:t>
      </w:r>
    </w:p>
    <w:p>
      <w:pPr>
        <w:spacing w:after="0" w:line="182" w:lineRule="exact"/>
        <w:rPr>
          <w:sz w:val="20"/>
          <w:szCs w:val="20"/>
          <w:color w:val="auto"/>
        </w:rPr>
      </w:pPr>
    </w:p>
    <w:p>
      <w:pPr>
        <w:ind w:firstLine="319"/>
        <w:spacing w:after="0" w:line="253" w:lineRule="auto"/>
        <w:rPr>
          <w:sz w:val="20"/>
          <w:szCs w:val="20"/>
          <w:color w:val="auto"/>
        </w:rPr>
      </w:pPr>
      <w:r>
        <w:rPr>
          <w:rFonts w:ascii="Times New Roman" w:cs="Times New Roman" w:eastAsia="Times New Roman" w:hAnsi="Times New Roman"/>
          <w:sz w:val="18"/>
          <w:szCs w:val="18"/>
          <w:color w:val="auto"/>
        </w:rPr>
        <w:t>In November 2024, the FASB issued ASU 2024-04, “Debt—Debt with Conversion and Other Options (Subtopic 470-20): Induced Conversions of Convertible Debt Instruments” (“ASU 2024-04”). ASU 2024-04 clarifies the determination of accounting treatment required for settlement of convertible debt (particularly, cash convertible instruments) at terms that differ from the original conversion terms. ASU 2024-04 is effective for fiscal years beginning after December 15, 2025, and interim reporting periods within those annual reporting periods, and was adopted on a prospective basis. The adoption of ASU 2024-04 did not have a material impact on our unaudited Consolidated Financial Statements.</w:t>
      </w:r>
    </w:p>
    <w:p>
      <w:pPr>
        <w:spacing w:after="0" w:line="144" w:lineRule="exact"/>
        <w:rPr>
          <w:sz w:val="20"/>
          <w:szCs w:val="20"/>
          <w:color w:val="auto"/>
        </w:rPr>
      </w:pPr>
    </w:p>
    <w:p>
      <w:pPr>
        <w:ind w:right="200" w:firstLine="319"/>
        <w:spacing w:after="0" w:line="251" w:lineRule="auto"/>
        <w:rPr>
          <w:sz w:val="20"/>
          <w:szCs w:val="20"/>
          <w:color w:val="auto"/>
        </w:rPr>
      </w:pPr>
      <w:r>
        <w:rPr>
          <w:rFonts w:ascii="Times New Roman" w:cs="Times New Roman" w:eastAsia="Times New Roman" w:hAnsi="Times New Roman"/>
          <w:sz w:val="18"/>
          <w:szCs w:val="18"/>
          <w:color w:val="auto"/>
        </w:rPr>
        <w:t>In July 2025, the FASB issued ASU 2025-05, “Financial Instruments—Credit Losses (Topic 326): Measurement of Credit Losses for Accounts Receivable and Contract Assets” (“ASU 2025-05”). ASU 2025-05 introduces optional relief for entities estimating expected credit losses on accounts receivable and contract assets arising from revenue transactions under ASC Topic 606, “Revenue from Contracts with Customers.” The guidance allows entities to apply a practical expedient assuming current conditions persist over the asset’s life, and for certain non-public entities, to consider post-balance sheet cash collections when estimating credit losses. ASU 2025-05 is effective for fiscal years beginning after December 15, 2025, and interim reporting periods within those annual reporting periods, and was adopted on a prospective basis. The adoption of ASU 2025-05 did not have a material impact on our unaudited Consolidated Financial Statements.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to be Implemented</w:t>
      </w:r>
    </w:p>
    <w:p>
      <w:pPr>
        <w:spacing w:after="0" w:line="182" w:lineRule="exact"/>
        <w:rPr>
          <w:sz w:val="20"/>
          <w:szCs w:val="20"/>
          <w:color w:val="auto"/>
        </w:rPr>
      </w:pPr>
    </w:p>
    <w:p>
      <w:pPr>
        <w:ind w:right="60" w:firstLine="319"/>
        <w:spacing w:after="0" w:line="251"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(“ASU 2024-03”). ASU 2024-03 updates the requirements for a public entity to disclose additional information about specific income statement expense categories in the notes to financial statements. ASU 2024-03 does not change or remove current expense disclosure requirements, however, it affects where this information appears in the notes to financial statements. ASU 2024-03 is effective for fiscal years beginning after December 15, 2026, and interim periods within fiscal years beginning after December 15, 2027, on a prospective or retrospective basis, with early adoption permitted. We are assessing the guidance and currently expect adoption of the new standard to result in additional disclosures in the notes to the unaudited Consolidated Financial Statements.</w:t>
      </w:r>
    </w:p>
    <w:p>
      <w:pPr>
        <w:spacing w:after="0" w:line="145" w:lineRule="exact"/>
        <w:rPr>
          <w:sz w:val="20"/>
          <w:szCs w:val="20"/>
          <w:color w:val="auto"/>
        </w:rPr>
      </w:pPr>
    </w:p>
    <w:p>
      <w:pPr>
        <w:ind w:right="80" w:firstLine="319"/>
        <w:spacing w:after="0" w:line="252" w:lineRule="auto"/>
        <w:rPr>
          <w:sz w:val="20"/>
          <w:szCs w:val="20"/>
          <w:color w:val="auto"/>
        </w:rPr>
      </w:pPr>
      <w:r>
        <w:rPr>
          <w:rFonts w:ascii="Times New Roman" w:cs="Times New Roman" w:eastAsia="Times New Roman" w:hAnsi="Times New Roman"/>
          <w:sz w:val="18"/>
          <w:szCs w:val="18"/>
          <w:color w:val="auto"/>
        </w:rPr>
        <w:t>In September 2025, the FASB issued ASU 2025-06, “Intangibles—Goodwill and Other—Internal-Use Software (Subtopic 350-40): Targeted Improvements to the Accounting for Internal-Use Software” (“ASU 2025-06”). The amendments in ASU 2025-06 improve the operability of the guidance by removing all references to software development project stages so that the guidance is neutral to different software development methods, which may impact the timing and extent of cost capitalization for internal-use software. ASU 2025-06 is effective for fiscal years beginning after December 15, 2027, and interim periods within those annual reporting periods, on a prospective, modified, or retrospective basis, with early adoption permitted. We are currently assessing the guidance, and we do not expect the new standard to have a material impact on the unaudited Consolidated Financial Statements.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187960</wp:posOffset>
            </wp:positionV>
            <wp:extent cx="716026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4—Revenue Disaggregation</w:t>
      </w:r>
    </w:p>
    <w:p>
      <w:pPr>
        <w:spacing w:after="0" w:line="193" w:lineRule="exact"/>
        <w:rPr>
          <w:sz w:val="20"/>
          <w:szCs w:val="20"/>
          <w:color w:val="auto"/>
        </w:rPr>
      </w:pPr>
    </w:p>
    <w:p>
      <w:pPr>
        <w:ind w:right="20" w:firstLine="319"/>
        <w:spacing w:after="0" w:line="253" w:lineRule="auto"/>
        <w:rPr>
          <w:sz w:val="20"/>
          <w:szCs w:val="20"/>
          <w:color w:val="auto"/>
        </w:rPr>
      </w:pPr>
      <w:r>
        <w:rPr>
          <w:rFonts w:ascii="Times New Roman" w:cs="Times New Roman" w:eastAsia="Times New Roman" w:hAnsi="Times New Roman"/>
          <w:sz w:val="18"/>
          <w:szCs w:val="18"/>
          <w:color w:val="auto"/>
        </w:rPr>
        <w:t>Our revenues are generated primarily by providing the following types of services: (i) gaming, inclusive of retail sports betting, iCasino, and OSB; (ii) food and beverage; (iii) hotel; and (iv) other. Other revenues are primarily comprised of PENN Interactive’s revenues generated from third-party iCasino and OSB, in addition to the related gross-up for taxes, racing operations, media advertising, retail, and commissions received on ATM transactions. Our revenue is disaggregated by type of revenue and geographic location (with no single foreign country’s revenue representing more than 10% of total consolidated revenues) of the related properties, which is consistent with our reportable segments,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860" w:type="dxa"/>
            <w:vAlign w:val="bottom"/>
            <w:tcBorders>
              <w:bottom w:val="single" w:sz="8" w:color="auto"/>
            </w:tcBorders>
            <w:gridSpan w:val="17"/>
          </w:tcPr>
          <w:p>
            <w:pPr>
              <w:jc w:val="center"/>
              <w:ind w:left="320"/>
              <w:spacing w:after="0"/>
              <w:rPr>
                <w:sz w:val="20"/>
                <w:szCs w:val="20"/>
                <w:color w:val="auto"/>
              </w:rPr>
            </w:pPr>
            <w:r>
              <w:rPr>
                <w:rFonts w:ascii="Times New Roman" w:cs="Times New Roman" w:eastAsia="Times New Roman" w:hAnsi="Times New Roman"/>
                <w:sz w:val="16"/>
                <w:szCs w:val="16"/>
                <w:b w:val="1"/>
                <w:bCs w:val="1"/>
                <w:color w:val="auto"/>
                <w:w w:val="99"/>
              </w:rPr>
              <w:t>For the three months ended September 30, 2026</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Northeast</w:t>
            </w:r>
          </w:p>
        </w:tc>
        <w:tc>
          <w:tcPr>
            <w:tcW w:w="140" w:type="dxa"/>
            <w:vAlign w:val="bottom"/>
          </w:tcPr>
          <w:p>
            <w:pPr>
              <w:spacing w:after="0"/>
              <w:rPr>
                <w:sz w:val="14"/>
                <w:szCs w:val="14"/>
                <w:color w:val="auto"/>
              </w:rPr>
            </w:pPr>
          </w:p>
        </w:tc>
        <w:tc>
          <w:tcPr>
            <w:tcW w:w="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South</w:t>
            </w:r>
          </w:p>
        </w:tc>
        <w:tc>
          <w:tcPr>
            <w:tcW w:w="160" w:type="dxa"/>
            <w:vAlign w:val="bottom"/>
          </w:tcPr>
          <w:p>
            <w:pPr>
              <w:spacing w:after="0"/>
              <w:rPr>
                <w:sz w:val="14"/>
                <w:szCs w:val="14"/>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West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Midwest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 xml:space="preserve">Interactive </w:t>
            </w:r>
            <w:r>
              <w:rPr>
                <w:rFonts w:ascii="Times New Roman" w:cs="Times New Roman" w:eastAsia="Times New Roman" w:hAnsi="Times New Roman"/>
                <w:sz w:val="20"/>
                <w:szCs w:val="20"/>
                <w:b w:val="1"/>
                <w:bCs w:val="1"/>
                <w:color w:val="auto"/>
                <w:vertAlign w:val="superscript"/>
              </w:rPr>
              <w:t>(1)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40" w:type="dxa"/>
            <w:vAlign w:val="bottom"/>
          </w:tcPr>
          <w:p>
            <w:pPr>
              <w:spacing w:after="0"/>
              <w:rPr>
                <w:sz w:val="14"/>
                <w:szCs w:val="14"/>
                <w:color w:val="auto"/>
              </w:rPr>
            </w:pPr>
          </w:p>
        </w:tc>
        <w:tc>
          <w:tcPr>
            <w:tcW w:w="1380" w:type="dxa"/>
            <w:vAlign w:val="bottom"/>
            <w:gridSpan w:val="2"/>
          </w:tcPr>
          <w:p>
            <w:pPr>
              <w:jc w:val="center"/>
              <w:ind w:right="240"/>
              <w:spacing w:after="0" w:line="168" w:lineRule="exact"/>
              <w:rPr>
                <w:sz w:val="20"/>
                <w:szCs w:val="20"/>
                <w:color w:val="auto"/>
              </w:rPr>
            </w:pPr>
            <w:r>
              <w:rPr>
                <w:rFonts w:ascii="Times New Roman" w:cs="Times New Roman" w:eastAsia="Times New Roman" w:hAnsi="Times New Roman"/>
                <w:sz w:val="16"/>
                <w:szCs w:val="16"/>
                <w:b w:val="1"/>
                <w:bCs w:val="1"/>
                <w:color w:val="auto"/>
                <w:w w:val="99"/>
              </w:rPr>
              <w:t>Intersegment</w:t>
            </w:r>
          </w:p>
        </w:tc>
        <w:tc>
          <w:tcPr>
            <w:tcW w:w="200" w:type="dxa"/>
            <w:vAlign w:val="bottom"/>
          </w:tcPr>
          <w:p>
            <w:pPr>
              <w:spacing w:after="0"/>
              <w:rPr>
                <w:sz w:val="14"/>
                <w:szCs w:val="14"/>
                <w:color w:val="auto"/>
              </w:rPr>
            </w:pPr>
          </w:p>
        </w:tc>
        <w:tc>
          <w:tcPr>
            <w:tcW w:w="780" w:type="dxa"/>
            <w:vAlign w:val="bottom"/>
            <w:vMerge w:val="restart"/>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59"/>
        </w:trPr>
        <w:tc>
          <w:tcPr>
            <w:tcW w:w="278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2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tcPr>
          <w:p>
            <w:pPr>
              <w:jc w:val="center"/>
              <w:ind w:right="260"/>
              <w:spacing w:after="0" w:line="139" w:lineRule="exact"/>
              <w:rPr>
                <w:sz w:val="20"/>
                <w:szCs w:val="20"/>
                <w:color w:val="auto"/>
              </w:rPr>
            </w:pPr>
            <w:r>
              <w:rPr>
                <w:rFonts w:ascii="Times New Roman" w:cs="Times New Roman" w:eastAsia="Times New Roman" w:hAnsi="Times New Roman"/>
                <w:sz w:val="13"/>
                <w:szCs w:val="13"/>
                <w:b w:val="1"/>
                <w:bCs w:val="1"/>
                <w:color w:val="auto"/>
              </w:rPr>
              <w:t xml:space="preserve">Eliminations </w:t>
            </w:r>
            <w:r>
              <w:rPr>
                <w:rFonts w:ascii="Times New Roman" w:cs="Times New Roman" w:eastAsia="Times New Roman" w:hAnsi="Times New Roman"/>
                <w:sz w:val="16"/>
                <w:szCs w:val="16"/>
                <w:b w:val="1"/>
                <w:bCs w:val="1"/>
                <w:color w:val="auto"/>
                <w:vertAlign w:val="superscript"/>
              </w:rPr>
              <w:t>(2)</w:t>
            </w:r>
          </w:p>
        </w:tc>
        <w:tc>
          <w:tcPr>
            <w:tcW w:w="20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Gaming</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1,371.2</w:t>
            </w: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2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Food and beverage</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Hotel</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79.6</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2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6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Total revenues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708.3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17"/>
          </w:tcPr>
          <w:p>
            <w:pPr>
              <w:jc w:val="center"/>
              <w:ind w:left="320"/>
              <w:spacing w:after="0"/>
              <w:rPr>
                <w:sz w:val="20"/>
                <w:szCs w:val="20"/>
                <w:color w:val="auto"/>
              </w:rPr>
            </w:pPr>
            <w:r>
              <w:rPr>
                <w:rFonts w:ascii="Times New Roman" w:cs="Times New Roman" w:eastAsia="Times New Roman" w:hAnsi="Times New Roman"/>
                <w:sz w:val="16"/>
                <w:szCs w:val="16"/>
                <w:b w:val="1"/>
                <w:bCs w:val="1"/>
                <w:color w:val="auto"/>
                <w:w w:val="99"/>
              </w:rPr>
              <w:t>For the three months ended September 30, 2025</w:t>
            </w: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Northeast</w:t>
            </w:r>
          </w:p>
        </w:tc>
        <w:tc>
          <w:tcPr>
            <w:tcW w:w="140" w:type="dxa"/>
            <w:vAlign w:val="bottom"/>
          </w:tcPr>
          <w:p>
            <w:pPr>
              <w:spacing w:after="0"/>
              <w:rPr>
                <w:sz w:val="14"/>
                <w:szCs w:val="14"/>
                <w:color w:val="auto"/>
              </w:rPr>
            </w:pPr>
          </w:p>
        </w:tc>
        <w:tc>
          <w:tcPr>
            <w:tcW w:w="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South</w:t>
            </w:r>
          </w:p>
        </w:tc>
        <w:tc>
          <w:tcPr>
            <w:tcW w:w="160" w:type="dxa"/>
            <w:vAlign w:val="bottom"/>
          </w:tcPr>
          <w:p>
            <w:pPr>
              <w:spacing w:after="0"/>
              <w:rPr>
                <w:sz w:val="14"/>
                <w:szCs w:val="14"/>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West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Midwest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 xml:space="preserve">Interactive </w:t>
            </w:r>
            <w:r>
              <w:rPr>
                <w:rFonts w:ascii="Times New Roman" w:cs="Times New Roman" w:eastAsia="Times New Roman" w:hAnsi="Times New Roman"/>
                <w:sz w:val="20"/>
                <w:szCs w:val="20"/>
                <w:b w:val="1"/>
                <w:bCs w:val="1"/>
                <w:color w:val="auto"/>
                <w:vertAlign w:val="superscript"/>
              </w:rPr>
              <w:t>(1)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40" w:type="dxa"/>
            <w:vAlign w:val="bottom"/>
          </w:tcPr>
          <w:p>
            <w:pPr>
              <w:spacing w:after="0"/>
              <w:rPr>
                <w:sz w:val="14"/>
                <w:szCs w:val="14"/>
                <w:color w:val="auto"/>
              </w:rPr>
            </w:pPr>
          </w:p>
        </w:tc>
        <w:tc>
          <w:tcPr>
            <w:tcW w:w="1380" w:type="dxa"/>
            <w:vAlign w:val="bottom"/>
            <w:gridSpan w:val="2"/>
          </w:tcPr>
          <w:p>
            <w:pPr>
              <w:jc w:val="center"/>
              <w:ind w:right="240"/>
              <w:spacing w:after="0" w:line="168" w:lineRule="exact"/>
              <w:rPr>
                <w:sz w:val="20"/>
                <w:szCs w:val="20"/>
                <w:color w:val="auto"/>
              </w:rPr>
            </w:pPr>
            <w:r>
              <w:rPr>
                <w:rFonts w:ascii="Times New Roman" w:cs="Times New Roman" w:eastAsia="Times New Roman" w:hAnsi="Times New Roman"/>
                <w:sz w:val="16"/>
                <w:szCs w:val="16"/>
                <w:b w:val="1"/>
                <w:bCs w:val="1"/>
                <w:color w:val="auto"/>
                <w:w w:val="99"/>
              </w:rPr>
              <w:t>Intersegment</w:t>
            </w:r>
          </w:p>
        </w:tc>
        <w:tc>
          <w:tcPr>
            <w:tcW w:w="200" w:type="dxa"/>
            <w:vAlign w:val="bottom"/>
          </w:tcPr>
          <w:p>
            <w:pPr>
              <w:spacing w:after="0"/>
              <w:rPr>
                <w:sz w:val="14"/>
                <w:szCs w:val="14"/>
                <w:color w:val="auto"/>
              </w:rPr>
            </w:pPr>
          </w:p>
        </w:tc>
        <w:tc>
          <w:tcPr>
            <w:tcW w:w="780" w:type="dxa"/>
            <w:vAlign w:val="bottom"/>
            <w:vMerge w:val="restart"/>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59"/>
        </w:trPr>
        <w:tc>
          <w:tcPr>
            <w:tcW w:w="278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2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tcPr>
          <w:p>
            <w:pPr>
              <w:jc w:val="center"/>
              <w:ind w:right="260"/>
              <w:spacing w:after="0" w:line="139" w:lineRule="exact"/>
              <w:rPr>
                <w:sz w:val="20"/>
                <w:szCs w:val="20"/>
                <w:color w:val="auto"/>
              </w:rPr>
            </w:pPr>
            <w:r>
              <w:rPr>
                <w:rFonts w:ascii="Times New Roman" w:cs="Times New Roman" w:eastAsia="Times New Roman" w:hAnsi="Times New Roman"/>
                <w:sz w:val="13"/>
                <w:szCs w:val="13"/>
                <w:b w:val="1"/>
                <w:bCs w:val="1"/>
                <w:color w:val="auto"/>
              </w:rPr>
              <w:t xml:space="preserve">Eliminations </w:t>
            </w:r>
            <w:r>
              <w:rPr>
                <w:rFonts w:ascii="Times New Roman" w:cs="Times New Roman" w:eastAsia="Times New Roman" w:hAnsi="Times New Roman"/>
                <w:sz w:val="16"/>
                <w:szCs w:val="16"/>
                <w:b w:val="1"/>
                <w:bCs w:val="1"/>
                <w:color w:val="auto"/>
                <w:vertAlign w:val="superscript"/>
              </w:rPr>
              <w:t>(2)</w:t>
            </w:r>
          </w:p>
        </w:tc>
        <w:tc>
          <w:tcPr>
            <w:tcW w:w="20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Gaming</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1,325.2</w:t>
            </w: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2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Food and beverage</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Hotel</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2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6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Total revenues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690.5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17"/>
          </w:tcPr>
          <w:p>
            <w:pPr>
              <w:jc w:val="center"/>
              <w:ind w:left="340"/>
              <w:spacing w:after="0"/>
              <w:rPr>
                <w:sz w:val="20"/>
                <w:szCs w:val="20"/>
                <w:color w:val="auto"/>
              </w:rPr>
            </w:pPr>
            <w:r>
              <w:rPr>
                <w:rFonts w:ascii="Times New Roman" w:cs="Times New Roman" w:eastAsia="Times New Roman" w:hAnsi="Times New Roman"/>
                <w:sz w:val="16"/>
                <w:szCs w:val="16"/>
                <w:b w:val="1"/>
                <w:bCs w:val="1"/>
                <w:color w:val="auto"/>
                <w:w w:val="99"/>
              </w:rPr>
              <w:t>For the nine months ended September 30, 2026</w:t>
            </w: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Northeast</w:t>
            </w:r>
          </w:p>
        </w:tc>
        <w:tc>
          <w:tcPr>
            <w:tcW w:w="140" w:type="dxa"/>
            <w:vAlign w:val="bottom"/>
          </w:tcPr>
          <w:p>
            <w:pPr>
              <w:spacing w:after="0"/>
              <w:rPr>
                <w:sz w:val="14"/>
                <w:szCs w:val="14"/>
                <w:color w:val="auto"/>
              </w:rPr>
            </w:pPr>
          </w:p>
        </w:tc>
        <w:tc>
          <w:tcPr>
            <w:tcW w:w="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South</w:t>
            </w:r>
          </w:p>
        </w:tc>
        <w:tc>
          <w:tcPr>
            <w:tcW w:w="160" w:type="dxa"/>
            <w:vAlign w:val="bottom"/>
          </w:tcPr>
          <w:p>
            <w:pPr>
              <w:spacing w:after="0"/>
              <w:rPr>
                <w:sz w:val="14"/>
                <w:szCs w:val="14"/>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West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Midwest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 xml:space="preserve">Interactive </w:t>
            </w:r>
            <w:r>
              <w:rPr>
                <w:rFonts w:ascii="Times New Roman" w:cs="Times New Roman" w:eastAsia="Times New Roman" w:hAnsi="Times New Roman"/>
                <w:sz w:val="20"/>
                <w:szCs w:val="20"/>
                <w:b w:val="1"/>
                <w:bCs w:val="1"/>
                <w:color w:val="auto"/>
                <w:vertAlign w:val="superscript"/>
              </w:rPr>
              <w:t>(1)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40" w:type="dxa"/>
            <w:vAlign w:val="bottom"/>
          </w:tcPr>
          <w:p>
            <w:pPr>
              <w:spacing w:after="0"/>
              <w:rPr>
                <w:sz w:val="14"/>
                <w:szCs w:val="14"/>
                <w:color w:val="auto"/>
              </w:rPr>
            </w:pPr>
          </w:p>
        </w:tc>
        <w:tc>
          <w:tcPr>
            <w:tcW w:w="1380" w:type="dxa"/>
            <w:vAlign w:val="bottom"/>
            <w:gridSpan w:val="2"/>
          </w:tcPr>
          <w:p>
            <w:pPr>
              <w:jc w:val="center"/>
              <w:ind w:right="240"/>
              <w:spacing w:after="0" w:line="168" w:lineRule="exact"/>
              <w:rPr>
                <w:sz w:val="20"/>
                <w:szCs w:val="20"/>
                <w:color w:val="auto"/>
              </w:rPr>
            </w:pPr>
            <w:r>
              <w:rPr>
                <w:rFonts w:ascii="Times New Roman" w:cs="Times New Roman" w:eastAsia="Times New Roman" w:hAnsi="Times New Roman"/>
                <w:sz w:val="16"/>
                <w:szCs w:val="16"/>
                <w:b w:val="1"/>
                <w:bCs w:val="1"/>
                <w:color w:val="auto"/>
                <w:w w:val="99"/>
              </w:rPr>
              <w:t>Intersegment</w:t>
            </w:r>
          </w:p>
        </w:tc>
        <w:tc>
          <w:tcPr>
            <w:tcW w:w="200" w:type="dxa"/>
            <w:vAlign w:val="bottom"/>
          </w:tcPr>
          <w:p>
            <w:pPr>
              <w:spacing w:after="0"/>
              <w:rPr>
                <w:sz w:val="14"/>
                <w:szCs w:val="14"/>
                <w:color w:val="auto"/>
              </w:rPr>
            </w:pPr>
          </w:p>
        </w:tc>
        <w:tc>
          <w:tcPr>
            <w:tcW w:w="780" w:type="dxa"/>
            <w:vAlign w:val="bottom"/>
            <w:vMerge w:val="restart"/>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59"/>
        </w:trPr>
        <w:tc>
          <w:tcPr>
            <w:tcW w:w="278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2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tcPr>
          <w:p>
            <w:pPr>
              <w:jc w:val="center"/>
              <w:ind w:right="260"/>
              <w:spacing w:after="0" w:line="139" w:lineRule="exact"/>
              <w:rPr>
                <w:sz w:val="20"/>
                <w:szCs w:val="20"/>
                <w:color w:val="auto"/>
              </w:rPr>
            </w:pPr>
            <w:r>
              <w:rPr>
                <w:rFonts w:ascii="Times New Roman" w:cs="Times New Roman" w:eastAsia="Times New Roman" w:hAnsi="Times New Roman"/>
                <w:sz w:val="13"/>
                <w:szCs w:val="13"/>
                <w:b w:val="1"/>
                <w:bCs w:val="1"/>
                <w:color w:val="auto"/>
              </w:rPr>
              <w:t xml:space="preserve">Eliminations </w:t>
            </w:r>
            <w:r>
              <w:rPr>
                <w:rFonts w:ascii="Times New Roman" w:cs="Times New Roman" w:eastAsia="Times New Roman" w:hAnsi="Times New Roman"/>
                <w:sz w:val="16"/>
                <w:szCs w:val="16"/>
                <w:b w:val="1"/>
                <w:bCs w:val="1"/>
                <w:color w:val="auto"/>
                <w:vertAlign w:val="superscript"/>
              </w:rPr>
              <w:t>(2)</w:t>
            </w:r>
          </w:p>
        </w:tc>
        <w:tc>
          <w:tcPr>
            <w:tcW w:w="20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Gaming</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1,899.7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857.1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4,102.1</w:t>
            </w: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2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Food and beverage</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Hotel</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215.1</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2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664.1</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6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Total revenues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2,127.0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874.9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968.4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1,056.0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5,476.4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40" w:type="dxa"/>
            <w:vAlign w:val="bottom"/>
            <w:tcBorders>
              <w:bottom w:val="single" w:sz="8" w:color="auto"/>
            </w:tcBorders>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40" w:type="dxa"/>
            <w:vAlign w:val="bottom"/>
            <w:tcBorders>
              <w:bottom w:val="single" w:sz="8" w:color="auto"/>
            </w:tcBorders>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17"/>
          </w:tcPr>
          <w:p>
            <w:pPr>
              <w:jc w:val="center"/>
              <w:ind w:left="340"/>
              <w:spacing w:after="0"/>
              <w:rPr>
                <w:sz w:val="20"/>
                <w:szCs w:val="20"/>
                <w:color w:val="auto"/>
              </w:rPr>
            </w:pPr>
            <w:r>
              <w:rPr>
                <w:rFonts w:ascii="Times New Roman" w:cs="Times New Roman" w:eastAsia="Times New Roman" w:hAnsi="Times New Roman"/>
                <w:sz w:val="16"/>
                <w:szCs w:val="16"/>
                <w:b w:val="1"/>
                <w:bCs w:val="1"/>
                <w:color w:val="auto"/>
                <w:w w:val="99"/>
              </w:rPr>
              <w:t>For the nine months ended September 30, 2025</w:t>
            </w: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Northeast</w:t>
            </w:r>
          </w:p>
        </w:tc>
        <w:tc>
          <w:tcPr>
            <w:tcW w:w="140" w:type="dxa"/>
            <w:vAlign w:val="bottom"/>
          </w:tcPr>
          <w:p>
            <w:pPr>
              <w:spacing w:after="0"/>
              <w:rPr>
                <w:sz w:val="14"/>
                <w:szCs w:val="14"/>
                <w:color w:val="auto"/>
              </w:rPr>
            </w:pPr>
          </w:p>
        </w:tc>
        <w:tc>
          <w:tcPr>
            <w:tcW w:w="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South</w:t>
            </w:r>
          </w:p>
        </w:tc>
        <w:tc>
          <w:tcPr>
            <w:tcW w:w="160" w:type="dxa"/>
            <w:vAlign w:val="bottom"/>
          </w:tcPr>
          <w:p>
            <w:pPr>
              <w:spacing w:after="0"/>
              <w:rPr>
                <w:sz w:val="14"/>
                <w:szCs w:val="14"/>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West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Midwest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 xml:space="preserve">Interactive </w:t>
            </w:r>
            <w:r>
              <w:rPr>
                <w:rFonts w:ascii="Times New Roman" w:cs="Times New Roman" w:eastAsia="Times New Roman" w:hAnsi="Times New Roman"/>
                <w:sz w:val="20"/>
                <w:szCs w:val="20"/>
                <w:b w:val="1"/>
                <w:bCs w:val="1"/>
                <w:color w:val="auto"/>
                <w:vertAlign w:val="superscript"/>
              </w:rPr>
              <w:t>(1)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40" w:type="dxa"/>
            <w:vAlign w:val="bottom"/>
          </w:tcPr>
          <w:p>
            <w:pPr>
              <w:spacing w:after="0"/>
              <w:rPr>
                <w:sz w:val="14"/>
                <w:szCs w:val="14"/>
                <w:color w:val="auto"/>
              </w:rPr>
            </w:pPr>
          </w:p>
        </w:tc>
        <w:tc>
          <w:tcPr>
            <w:tcW w:w="1380" w:type="dxa"/>
            <w:vAlign w:val="bottom"/>
            <w:gridSpan w:val="2"/>
          </w:tcPr>
          <w:p>
            <w:pPr>
              <w:jc w:val="center"/>
              <w:ind w:right="240"/>
              <w:spacing w:after="0" w:line="168" w:lineRule="exact"/>
              <w:rPr>
                <w:sz w:val="20"/>
                <w:szCs w:val="20"/>
                <w:color w:val="auto"/>
              </w:rPr>
            </w:pPr>
            <w:r>
              <w:rPr>
                <w:rFonts w:ascii="Times New Roman" w:cs="Times New Roman" w:eastAsia="Times New Roman" w:hAnsi="Times New Roman"/>
                <w:sz w:val="16"/>
                <w:szCs w:val="16"/>
                <w:b w:val="1"/>
                <w:bCs w:val="1"/>
                <w:color w:val="auto"/>
                <w:w w:val="99"/>
              </w:rPr>
              <w:t>Intersegment</w:t>
            </w:r>
          </w:p>
        </w:tc>
        <w:tc>
          <w:tcPr>
            <w:tcW w:w="200" w:type="dxa"/>
            <w:vAlign w:val="bottom"/>
          </w:tcPr>
          <w:p>
            <w:pPr>
              <w:spacing w:after="0"/>
              <w:rPr>
                <w:sz w:val="14"/>
                <w:szCs w:val="14"/>
                <w:color w:val="auto"/>
              </w:rPr>
            </w:pPr>
          </w:p>
        </w:tc>
        <w:tc>
          <w:tcPr>
            <w:tcW w:w="780" w:type="dxa"/>
            <w:vAlign w:val="bottom"/>
            <w:vMerge w:val="restart"/>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59"/>
        </w:trPr>
        <w:tc>
          <w:tcPr>
            <w:tcW w:w="278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2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tcPr>
          <w:p>
            <w:pPr>
              <w:jc w:val="center"/>
              <w:ind w:right="260"/>
              <w:spacing w:after="0" w:line="139" w:lineRule="exact"/>
              <w:rPr>
                <w:sz w:val="20"/>
                <w:szCs w:val="20"/>
                <w:color w:val="auto"/>
              </w:rPr>
            </w:pPr>
            <w:r>
              <w:rPr>
                <w:rFonts w:ascii="Times New Roman" w:cs="Times New Roman" w:eastAsia="Times New Roman" w:hAnsi="Times New Roman"/>
                <w:sz w:val="13"/>
                <w:szCs w:val="13"/>
                <w:b w:val="1"/>
                <w:bCs w:val="1"/>
                <w:color w:val="auto"/>
              </w:rPr>
              <w:t xml:space="preserve">Eliminations </w:t>
            </w:r>
            <w:r>
              <w:rPr>
                <w:rFonts w:ascii="Times New Roman" w:cs="Times New Roman" w:eastAsia="Times New Roman" w:hAnsi="Times New Roman"/>
                <w:sz w:val="16"/>
                <w:szCs w:val="16"/>
                <w:b w:val="1"/>
                <w:bCs w:val="1"/>
                <w:color w:val="auto"/>
                <w:vertAlign w:val="superscript"/>
              </w:rPr>
              <w:t>(2)</w:t>
            </w:r>
          </w:p>
        </w:tc>
        <w:tc>
          <w:tcPr>
            <w:tcW w:w="20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Gaming</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1,863.5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3,991.2</w:t>
            </w: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2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Food and beverage</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Hotel</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193.5</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2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505.5</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6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Total revenues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2,083.0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878.2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903.9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tcPr>
          <w:p>
            <w:pPr>
              <w:spacing w:after="0"/>
              <w:rPr>
                <w:sz w:val="19"/>
                <w:szCs w:val="19"/>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ind w:left="640" w:right="100" w:hanging="315"/>
        <w:spacing w:after="0" w:line="274" w:lineRule="auto"/>
        <w:tabs>
          <w:tab w:leader="none" w:pos="628"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revenues within the Interactive segment are inclusive of gaming tax reimbursement amounts related to third-party OSB and/or iCasino partners for OSB and iCasino market access of $191.4 million and $139.5 million for the three months ended September 30, 2026 and 2025, respectively, and $562.7 million and $405.6 million for the nine months ended September 30, 2026 and 2025, respectively.</w:t>
      </w:r>
    </w:p>
    <w:p>
      <w:pPr>
        <w:spacing w:after="0" w:line="19" w:lineRule="exact"/>
        <w:rPr>
          <w:rFonts w:ascii="Times New Roman" w:cs="Times New Roman" w:eastAsia="Times New Roman" w:hAnsi="Times New Roman"/>
          <w:sz w:val="14"/>
          <w:szCs w:val="14"/>
          <w:color w:val="auto"/>
        </w:rPr>
      </w:pPr>
    </w:p>
    <w:p>
      <w:pPr>
        <w:ind w:left="640" w:hanging="315"/>
        <w:spacing w:after="0"/>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represents the elimination of intersegment revenues associated with our retail sportsbooks, which are operated by PENN Interactive.</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187960</wp:posOffset>
            </wp:positionV>
            <wp:extent cx="716026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72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950"/>
        </w:trPr>
        <w:tc>
          <w:tcPr>
            <w:tcW w:w="72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Note 5—Long-Term Debt</w:t>
            </w: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98"/>
        </w:trPr>
        <w:tc>
          <w:tcPr>
            <w:tcW w:w="20" w:type="dxa"/>
            <w:vAlign w:val="bottom"/>
          </w:tcPr>
          <w:p>
            <w:pPr>
              <w:spacing w:after="0"/>
              <w:rPr>
                <w:sz w:val="24"/>
                <w:szCs w:val="24"/>
                <w:color w:val="auto"/>
              </w:rPr>
            </w:pPr>
          </w:p>
        </w:tc>
        <w:tc>
          <w:tcPr>
            <w:tcW w:w="9260" w:type="dxa"/>
            <w:vAlign w:val="bottom"/>
            <w:gridSpan w:val="6"/>
          </w:tcPr>
          <w:p>
            <w:pPr>
              <w:ind w:left="300"/>
              <w:spacing w:after="0"/>
              <w:rPr>
                <w:sz w:val="20"/>
                <w:szCs w:val="20"/>
                <w:color w:val="auto"/>
              </w:rPr>
            </w:pPr>
            <w:r>
              <w:rPr>
                <w:rFonts w:ascii="Times New Roman" w:cs="Times New Roman" w:eastAsia="Times New Roman" w:hAnsi="Times New Roman"/>
                <w:sz w:val="18"/>
                <w:szCs w:val="18"/>
                <w:color w:val="auto"/>
              </w:rPr>
              <w:t>The table below presents long-term debt, net of current maturities, debt discounts, and debt issuance costs:</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84"/>
        </w:trPr>
        <w:tc>
          <w:tcPr>
            <w:tcW w:w="72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60" w:type="dxa"/>
            <w:vAlign w:val="bottom"/>
          </w:tcPr>
          <w:p>
            <w:pPr>
              <w:spacing w:after="0"/>
              <w:rPr>
                <w:sz w:val="24"/>
                <w:szCs w:val="24"/>
                <w:color w:val="auto"/>
              </w:rPr>
            </w:pPr>
          </w:p>
        </w:tc>
        <w:tc>
          <w:tcPr>
            <w:tcW w:w="18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200" w:type="dxa"/>
            <w:vAlign w:val="bottom"/>
          </w:tcPr>
          <w:p>
            <w:pPr>
              <w:spacing w:after="0"/>
              <w:rPr>
                <w:sz w:val="24"/>
                <w:szCs w:val="24"/>
                <w:color w:val="auto"/>
              </w:rPr>
            </w:pPr>
          </w:p>
        </w:tc>
        <w:tc>
          <w:tcPr>
            <w:tcW w:w="1760" w:type="dxa"/>
            <w:vAlign w:val="bottom"/>
            <w:gridSpan w:val="3"/>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33"/>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5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9"/>
        </w:trPr>
        <w:tc>
          <w:tcPr>
            <w:tcW w:w="72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Amended Credit Facilities:</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9"/>
        </w:trPr>
        <w:tc>
          <w:tcPr>
            <w:tcW w:w="20" w:type="dxa"/>
            <w:vAlign w:val="bottom"/>
          </w:tcPr>
          <w:p>
            <w:pPr>
              <w:spacing w:after="0"/>
              <w:rPr>
                <w:sz w:val="20"/>
                <w:szCs w:val="20"/>
                <w:color w:val="auto"/>
              </w:rPr>
            </w:pPr>
          </w:p>
        </w:tc>
        <w:tc>
          <w:tcPr>
            <w:tcW w:w="72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Amended Revolving Credit Facility due 2031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20" w:type="dxa"/>
            <w:vAlign w:val="bottom"/>
            <w:shd w:val="clear" w:color="auto" w:fill="CCEEFF"/>
          </w:tcPr>
          <w:p>
            <w:pPr>
              <w:spacing w:after="0"/>
              <w:rPr>
                <w:sz w:val="20"/>
                <w:szCs w:val="20"/>
                <w:color w:val="auto"/>
              </w:rPr>
            </w:pPr>
          </w:p>
        </w:tc>
        <w:tc>
          <w:tcPr>
            <w:tcW w:w="72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Amended Term Loan A Facility due 2031</w:t>
            </w:r>
          </w:p>
        </w:tc>
        <w:tc>
          <w:tcPr>
            <w:tcW w:w="16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20" w:type="dxa"/>
            <w:vAlign w:val="bottom"/>
          </w:tcPr>
          <w:p>
            <w:pPr>
              <w:spacing w:after="0"/>
              <w:rPr>
                <w:sz w:val="20"/>
                <w:szCs w:val="20"/>
                <w:color w:val="auto"/>
              </w:rPr>
            </w:pPr>
          </w:p>
        </w:tc>
        <w:tc>
          <w:tcPr>
            <w:tcW w:w="72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Amended Term Loan B Facility due 2033</w:t>
            </w:r>
          </w:p>
        </w:tc>
        <w:tc>
          <w:tcPr>
            <w:tcW w:w="1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20" w:type="dxa"/>
            <w:vAlign w:val="bottom"/>
            <w:shd w:val="clear" w:color="auto" w:fill="CCEEFF"/>
          </w:tcPr>
          <w:p>
            <w:pPr>
              <w:spacing w:after="0"/>
              <w:rPr>
                <w:sz w:val="20"/>
                <w:szCs w:val="20"/>
                <w:color w:val="auto"/>
              </w:rPr>
            </w:pPr>
          </w:p>
        </w:tc>
        <w:tc>
          <w:tcPr>
            <w:tcW w:w="72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Amended Revolving Credit Facility due 2027</w:t>
            </w:r>
          </w:p>
        </w:tc>
        <w:tc>
          <w:tcPr>
            <w:tcW w:w="16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w:t>
            </w:r>
          </w:p>
        </w:tc>
      </w:tr>
      <w:tr>
        <w:trPr>
          <w:trHeight w:val="239"/>
        </w:trPr>
        <w:tc>
          <w:tcPr>
            <w:tcW w:w="20" w:type="dxa"/>
            <w:vAlign w:val="bottom"/>
          </w:tcPr>
          <w:p>
            <w:pPr>
              <w:spacing w:after="0"/>
              <w:rPr>
                <w:sz w:val="20"/>
                <w:szCs w:val="20"/>
                <w:color w:val="auto"/>
              </w:rPr>
            </w:pPr>
          </w:p>
        </w:tc>
        <w:tc>
          <w:tcPr>
            <w:tcW w:w="72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Amended Term Loan A Facility due 2027</w:t>
            </w:r>
          </w:p>
        </w:tc>
        <w:tc>
          <w:tcPr>
            <w:tcW w:w="160" w:type="dxa"/>
            <w:vAlign w:val="bottom"/>
          </w:tcPr>
          <w:p>
            <w:pPr>
              <w:spacing w:after="0"/>
              <w:rPr>
                <w:sz w:val="20"/>
                <w:szCs w:val="20"/>
                <w:color w:val="auto"/>
              </w:rPr>
            </w:pPr>
          </w:p>
        </w:tc>
        <w:tc>
          <w:tcPr>
            <w:tcW w:w="1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453.8</w:t>
            </w:r>
          </w:p>
        </w:tc>
      </w:tr>
      <w:tr>
        <w:trPr>
          <w:trHeight w:val="239"/>
        </w:trPr>
        <w:tc>
          <w:tcPr>
            <w:tcW w:w="20" w:type="dxa"/>
            <w:vAlign w:val="bottom"/>
            <w:shd w:val="clear" w:color="auto" w:fill="CCEEFF"/>
          </w:tcPr>
          <w:p>
            <w:pPr>
              <w:spacing w:after="0"/>
              <w:rPr>
                <w:sz w:val="20"/>
                <w:szCs w:val="20"/>
                <w:color w:val="auto"/>
              </w:rPr>
            </w:pPr>
          </w:p>
        </w:tc>
        <w:tc>
          <w:tcPr>
            <w:tcW w:w="72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Amended Term Loan B Facility due 2029</w:t>
            </w:r>
          </w:p>
        </w:tc>
        <w:tc>
          <w:tcPr>
            <w:tcW w:w="16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965.0</w:t>
            </w:r>
          </w:p>
        </w:tc>
      </w:tr>
      <w:tr>
        <w:trPr>
          <w:trHeight w:val="239"/>
        </w:trPr>
        <w:tc>
          <w:tcPr>
            <w:tcW w:w="72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5.625% Notes due 2027</w:t>
            </w:r>
          </w:p>
        </w:tc>
        <w:tc>
          <w:tcPr>
            <w:tcW w:w="1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r>
      <w:tr>
        <w:trPr>
          <w:trHeight w:val="239"/>
        </w:trPr>
        <w:tc>
          <w:tcPr>
            <w:tcW w:w="72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4.125% Notes due 2029</w:t>
            </w:r>
          </w:p>
        </w:tc>
        <w:tc>
          <w:tcPr>
            <w:tcW w:w="16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r>
      <w:tr>
        <w:trPr>
          <w:trHeight w:val="239"/>
        </w:trPr>
        <w:tc>
          <w:tcPr>
            <w:tcW w:w="72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6.75% Notes due 2031</w:t>
            </w:r>
          </w:p>
        </w:tc>
        <w:tc>
          <w:tcPr>
            <w:tcW w:w="1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2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2.75% Convertible Notes due 2026</w:t>
            </w:r>
          </w:p>
        </w:tc>
        <w:tc>
          <w:tcPr>
            <w:tcW w:w="16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w:t>
            </w:r>
          </w:p>
        </w:tc>
      </w:tr>
      <w:tr>
        <w:trPr>
          <w:trHeight w:val="239"/>
        </w:trPr>
        <w:tc>
          <w:tcPr>
            <w:tcW w:w="724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Other long-term obligations</w:t>
            </w:r>
          </w:p>
        </w:tc>
        <w:tc>
          <w:tcPr>
            <w:tcW w:w="1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32"/>
        </w:trPr>
        <w:tc>
          <w:tcPr>
            <w:tcW w:w="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9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2,806.6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2,904.1</w:t>
            </w:r>
          </w:p>
        </w:tc>
      </w:tr>
      <w:tr>
        <w:trPr>
          <w:trHeight w:val="239"/>
        </w:trPr>
        <w:tc>
          <w:tcPr>
            <w:tcW w:w="72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Less: Current maturities of long-term debt</w:t>
            </w:r>
          </w:p>
        </w:tc>
        <w:tc>
          <w:tcPr>
            <w:tcW w:w="1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r>
      <w:tr>
        <w:trPr>
          <w:trHeight w:val="239"/>
        </w:trPr>
        <w:tc>
          <w:tcPr>
            <w:tcW w:w="72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Debt discounts and debt issuance costs</w:t>
            </w:r>
          </w:p>
        </w:tc>
        <w:tc>
          <w:tcPr>
            <w:tcW w:w="160" w:type="dxa"/>
            <w:vAlign w:val="bottom"/>
            <w:tcBorders>
              <w:bottom w:val="single" w:sz="8" w:color="auto"/>
            </w:tcBorders>
            <w:shd w:val="clear" w:color="auto" w:fill="CCEEFF"/>
          </w:tcPr>
          <w:p>
            <w:pPr>
              <w:spacing w:after="0"/>
              <w:rPr>
                <w:sz w:val="20"/>
                <w:szCs w:val="20"/>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2,735.2</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2,848.9</w:t>
            </w: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500" w:type="dxa"/>
            <w:vAlign w:val="bottom"/>
            <w:gridSpan w:val="2"/>
          </w:tcPr>
          <w:p>
            <w:pPr>
              <w:spacing w:after="0" w:line="20" w:lineRule="exact"/>
              <w:rPr>
                <w:sz w:val="1"/>
                <w:szCs w:val="1"/>
                <w:color w:val="auto"/>
              </w:rPr>
            </w:pPr>
          </w:p>
        </w:tc>
        <w:tc>
          <w:tcPr>
            <w:tcW w:w="19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472"/>
        </w:trPr>
        <w:tc>
          <w:tcPr>
            <w:tcW w:w="20" w:type="dxa"/>
            <w:vAlign w:val="bottom"/>
          </w:tcPr>
          <w:p>
            <w:pPr>
              <w:spacing w:after="0"/>
              <w:rPr>
                <w:sz w:val="24"/>
                <w:szCs w:val="24"/>
                <w:color w:val="auto"/>
              </w:rPr>
            </w:pPr>
          </w:p>
        </w:tc>
        <w:tc>
          <w:tcPr>
            <w:tcW w:w="9260" w:type="dxa"/>
            <w:vAlign w:val="bottom"/>
            <w:gridSpan w:val="6"/>
          </w:tcPr>
          <w:p>
            <w:pPr>
              <w:ind w:left="300"/>
              <w:spacing w:after="0"/>
              <w:rPr>
                <w:sz w:val="20"/>
                <w:szCs w:val="20"/>
                <w:color w:val="auto"/>
              </w:rPr>
            </w:pPr>
            <w:r>
              <w:rPr>
                <w:rFonts w:ascii="Times New Roman" w:cs="Times New Roman" w:eastAsia="Times New Roman" w:hAnsi="Times New Roman"/>
                <w:sz w:val="18"/>
                <w:szCs w:val="18"/>
                <w:color w:val="auto"/>
              </w:rPr>
              <w:t>The following is a schedule of future minimum repayments of long-term debt as of September 30, 2026:</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86"/>
        </w:trPr>
        <w:tc>
          <w:tcPr>
            <w:tcW w:w="72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4"/>
        </w:trPr>
        <w:tc>
          <w:tcPr>
            <w:tcW w:w="7240" w:type="dxa"/>
            <w:vAlign w:val="bottom"/>
            <w:gridSpan w:val="4"/>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9"/>
        </w:trPr>
        <w:tc>
          <w:tcPr>
            <w:tcW w:w="72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Years ending December 31:</w:t>
            </w:r>
          </w:p>
        </w:tc>
        <w:tc>
          <w:tcPr>
            <w:tcW w:w="16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39"/>
        </w:trPr>
        <w:tc>
          <w:tcPr>
            <w:tcW w:w="20" w:type="dxa"/>
            <w:vAlign w:val="bottom"/>
          </w:tcPr>
          <w:p>
            <w:pPr>
              <w:spacing w:after="0"/>
              <w:rPr>
                <w:sz w:val="20"/>
                <w:szCs w:val="20"/>
                <w:color w:val="auto"/>
              </w:rPr>
            </w:pPr>
          </w:p>
        </w:tc>
        <w:tc>
          <w:tcPr>
            <w:tcW w:w="72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2026 (excluding the nine months ended September 30, 2026)</w:t>
            </w:r>
          </w:p>
        </w:tc>
        <w:tc>
          <w:tcPr>
            <w:tcW w:w="1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39"/>
        </w:trPr>
        <w:tc>
          <w:tcPr>
            <w:tcW w:w="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2027</w:t>
            </w:r>
          </w:p>
        </w:tc>
        <w:tc>
          <w:tcPr>
            <w:tcW w:w="520" w:type="dxa"/>
            <w:vAlign w:val="bottom"/>
            <w:shd w:val="clear" w:color="auto" w:fill="CCEEFF"/>
          </w:tcPr>
          <w:p>
            <w:pPr>
              <w:spacing w:after="0"/>
              <w:rPr>
                <w:sz w:val="20"/>
                <w:szCs w:val="20"/>
                <w:color w:val="auto"/>
              </w:rPr>
            </w:pPr>
          </w:p>
        </w:tc>
        <w:tc>
          <w:tcPr>
            <w:tcW w:w="59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433.1</w:t>
            </w:r>
          </w:p>
        </w:tc>
      </w:tr>
      <w:tr>
        <w:trPr>
          <w:trHeight w:val="239"/>
        </w:trPr>
        <w:tc>
          <w:tcPr>
            <w:tcW w:w="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2028</w:t>
            </w:r>
          </w:p>
        </w:tc>
        <w:tc>
          <w:tcPr>
            <w:tcW w:w="5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r>
      <w:tr>
        <w:trPr>
          <w:trHeight w:val="239"/>
        </w:trPr>
        <w:tc>
          <w:tcPr>
            <w:tcW w:w="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2029</w:t>
            </w:r>
          </w:p>
        </w:tc>
        <w:tc>
          <w:tcPr>
            <w:tcW w:w="520" w:type="dxa"/>
            <w:vAlign w:val="bottom"/>
            <w:shd w:val="clear" w:color="auto" w:fill="CCEEFF"/>
          </w:tcPr>
          <w:p>
            <w:pPr>
              <w:spacing w:after="0"/>
              <w:rPr>
                <w:sz w:val="20"/>
                <w:szCs w:val="20"/>
                <w:color w:val="auto"/>
              </w:rPr>
            </w:pPr>
          </w:p>
        </w:tc>
        <w:tc>
          <w:tcPr>
            <w:tcW w:w="59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433.2</w:t>
            </w:r>
          </w:p>
        </w:tc>
      </w:tr>
      <w:tr>
        <w:trPr>
          <w:trHeight w:val="239"/>
        </w:trPr>
        <w:tc>
          <w:tcPr>
            <w:tcW w:w="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2030</w:t>
            </w:r>
          </w:p>
        </w:tc>
        <w:tc>
          <w:tcPr>
            <w:tcW w:w="5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39"/>
        </w:trPr>
        <w:tc>
          <w:tcPr>
            <w:tcW w:w="20" w:type="dxa"/>
            <w:vAlign w:val="bottom"/>
            <w:shd w:val="clear" w:color="auto" w:fill="CCEEFF"/>
          </w:tcPr>
          <w:p>
            <w:pPr>
              <w:spacing w:after="0"/>
              <w:rPr>
                <w:sz w:val="20"/>
                <w:szCs w:val="20"/>
                <w:color w:val="auto"/>
              </w:rPr>
            </w:pPr>
          </w:p>
        </w:tc>
        <w:tc>
          <w:tcPr>
            <w:tcW w:w="72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1,865.9</w:t>
            </w:r>
          </w:p>
        </w:tc>
      </w:tr>
      <w:tr>
        <w:trPr>
          <w:trHeight w:val="232"/>
        </w:trPr>
        <w:tc>
          <w:tcPr>
            <w:tcW w:w="20" w:type="dxa"/>
            <w:vAlign w:val="bottom"/>
          </w:tcPr>
          <w:p>
            <w:pPr>
              <w:spacing w:after="0"/>
              <w:rPr>
                <w:sz w:val="20"/>
                <w:szCs w:val="20"/>
                <w:color w:val="auto"/>
              </w:rPr>
            </w:pPr>
          </w:p>
        </w:tc>
        <w:tc>
          <w:tcPr>
            <w:tcW w:w="72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Total minimum payments</w:t>
            </w:r>
          </w:p>
        </w:tc>
        <w:tc>
          <w:tcPr>
            <w:tcW w:w="1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2,806.6</w:t>
            </w: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Credit Facilities</w:t>
      </w:r>
    </w:p>
    <w:p>
      <w:pPr>
        <w:spacing w:after="0" w:line="195" w:lineRule="exact"/>
        <w:rPr>
          <w:sz w:val="20"/>
          <w:szCs w:val="20"/>
          <w:color w:val="auto"/>
        </w:rPr>
      </w:pPr>
    </w:p>
    <w:p>
      <w:pPr>
        <w:ind w:right="100" w:firstLine="319"/>
        <w:spacing w:after="0" w:line="253" w:lineRule="auto"/>
        <w:rPr>
          <w:sz w:val="20"/>
          <w:szCs w:val="20"/>
          <w:color w:val="auto"/>
        </w:rPr>
      </w:pPr>
      <w:r>
        <w:rPr>
          <w:rFonts w:ascii="Times New Roman" w:cs="Times New Roman" w:eastAsia="Times New Roman" w:hAnsi="Times New Roman"/>
          <w:sz w:val="18"/>
          <w:szCs w:val="18"/>
          <w:color w:val="auto"/>
        </w:rPr>
        <w:t>On May 3, 2022, the Company entered into an agreement with its various lenders to amend and restate its previous credit agreement (the “Second Amended and Restated Credit Agreement”), which provides for a revolving credit facility (the “Amended Revolving Credit Facility”), a term loan A facility (the “Amended Term Loan A Facility”), and a term loan B facility (the “Amended Term Loan B Facility”) (collectively, the “Amended Credit Facilities”). Borrowings under these facilities bear interest, at the Company’s option, at either an adjusted secured overnight financing rate (“Term SOFR”) or a base rate, plus an applicable margin.</w:t>
      </w:r>
    </w:p>
    <w:p>
      <w:pPr>
        <w:spacing w:after="0" w:line="144" w:lineRule="exact"/>
        <w:rPr>
          <w:sz w:val="20"/>
          <w:szCs w:val="20"/>
          <w:color w:val="auto"/>
        </w:rPr>
      </w:pPr>
    </w:p>
    <w:p>
      <w:pPr>
        <w:ind w:right="40" w:firstLine="319"/>
        <w:spacing w:after="0" w:line="251" w:lineRule="auto"/>
        <w:rPr>
          <w:sz w:val="20"/>
          <w:szCs w:val="20"/>
          <w:color w:val="auto"/>
        </w:rPr>
      </w:pPr>
      <w:r>
        <w:rPr>
          <w:rFonts w:ascii="Times New Roman" w:cs="Times New Roman" w:eastAsia="Times New Roman" w:hAnsi="Times New Roman"/>
          <w:sz w:val="18"/>
          <w:szCs w:val="18"/>
          <w:color w:val="auto"/>
        </w:rPr>
        <w:t xml:space="preserve">The Amended Credit Facilities contain customary covenants that, among other things, restrict, subject to certain exceptions, the ability of the Company and certain of its subsidiaries to incur indebtedness, grant liens on assets, sell assets, make investments, engage in acquisitions, mergers or consolidations, pay dividends and make other restricted payments, and prepay certain subordinated indebtedness. The Amended Credit Facilities contain two financial covenants: a maximum total net leverage ratio (as defined within the Second Amended and Restated Credit Agreement) of 4.50 to 1.00, subject to a step up to 5.00 to 1.00 in the case of certain significant acquisitions, and a minimum interest coverage ratio (as defined within the Second Amended and Restated Credit Agreement) of 2.00 to 1.00. The Amended Credit Facilities also contain customary affirmative covenants and events of default, including a change of control and certain termination and default events under the Master Leases, as discussed in </w:t>
      </w:r>
      <w:r>
        <w:rPr>
          <w:rFonts w:ascii="Times New Roman" w:cs="Times New Roman" w:eastAsia="Times New Roman" w:hAnsi="Times New Roman"/>
          <w:sz w:val="18"/>
          <w:szCs w:val="18"/>
          <w:u w:val="single" w:color="auto"/>
          <w:color w:val="0000FF"/>
        </w:rPr>
        <w:t>Note 6, “Leases.”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179705</wp:posOffset>
            </wp:positionV>
            <wp:extent cx="716026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Amended Revolving Credit Facility and Amended Term Loan A Facility</w:t>
      </w:r>
    </w:p>
    <w:p>
      <w:pPr>
        <w:spacing w:after="0" w:line="193" w:lineRule="exact"/>
        <w:rPr>
          <w:sz w:val="20"/>
          <w:szCs w:val="20"/>
          <w:color w:val="auto"/>
        </w:rPr>
      </w:pPr>
    </w:p>
    <w:p>
      <w:pPr>
        <w:ind w:right="440" w:firstLine="319"/>
        <w:spacing w:after="0" w:line="283" w:lineRule="auto"/>
        <w:rPr>
          <w:sz w:val="20"/>
          <w:szCs w:val="20"/>
          <w:color w:val="auto"/>
        </w:rPr>
      </w:pPr>
      <w:r>
        <w:rPr>
          <w:rFonts w:ascii="Times New Roman" w:cs="Times New Roman" w:eastAsia="Times New Roman" w:hAnsi="Times New Roman"/>
          <w:sz w:val="17"/>
          <w:szCs w:val="17"/>
          <w:color w:val="auto"/>
        </w:rPr>
        <w:t>On April 16, 2026, the Company entered into a Third Amendment to the Second Amended and Restated Credit Agreement (the “Third Amendment Agreement”), which among other things, refinanced and extended the maturity of the Company’s $1.0 billion Amended Revolving Credit Facility and $446.9 million Amended Term Loan A Facility. The Amended Revolving Credit Facility and Amended Term Loan A Facility mature in April 2031.</w:t>
      </w:r>
    </w:p>
    <w:p>
      <w:pPr>
        <w:spacing w:after="0" w:line="119" w:lineRule="exact"/>
        <w:rPr>
          <w:sz w:val="20"/>
          <w:szCs w:val="20"/>
          <w:color w:val="auto"/>
        </w:rPr>
      </w:pPr>
    </w:p>
    <w:p>
      <w:pPr>
        <w:ind w:right="120" w:firstLine="319"/>
        <w:spacing w:after="0" w:line="252" w:lineRule="auto"/>
        <w:rPr>
          <w:sz w:val="20"/>
          <w:szCs w:val="20"/>
          <w:color w:val="auto"/>
        </w:rPr>
      </w:pPr>
      <w:r>
        <w:rPr>
          <w:rFonts w:ascii="Times New Roman" w:cs="Times New Roman" w:eastAsia="Times New Roman" w:hAnsi="Times New Roman"/>
          <w:sz w:val="18"/>
          <w:szCs w:val="18"/>
          <w:color w:val="auto"/>
        </w:rPr>
        <w:t>The applicable margin for each of the Amended Revolving Credit Facility and the Amended Term Loan A Facility ranges from 1.50% to 2.25% per annum for Term SOFR loans and 0.50% to 1.25% per annum for base rate loans, depending on the Company’s total net leverage ratio. The Company pays a commitment fee of 0.20% to 0.35% on unused commitments, also dependent on its total net leverage ratio. The Third Amendment Agreement eliminated the credit spread adjustment applicable to Term SOFR borrowings under these facilities; the applicable interest rate margins were otherwise unchanged. Following the refinancing, borrowing capacity under the Amended Revolving Credit Facility is available for future working capital and other general corporate purposes.</w:t>
      </w:r>
    </w:p>
    <w:p>
      <w:pPr>
        <w:spacing w:after="0" w:line="144" w:lineRule="exact"/>
        <w:rPr>
          <w:sz w:val="20"/>
          <w:szCs w:val="20"/>
          <w:color w:val="auto"/>
        </w:rPr>
      </w:pPr>
    </w:p>
    <w:p>
      <w:pPr>
        <w:ind w:right="300" w:firstLine="319"/>
        <w:spacing w:after="0" w:line="275" w:lineRule="auto"/>
        <w:rPr>
          <w:sz w:val="20"/>
          <w:szCs w:val="20"/>
          <w:color w:val="auto"/>
        </w:rPr>
      </w:pPr>
      <w:r>
        <w:rPr>
          <w:rFonts w:ascii="Times New Roman" w:cs="Times New Roman" w:eastAsia="Times New Roman" w:hAnsi="Times New Roman"/>
          <w:sz w:val="18"/>
          <w:szCs w:val="18"/>
          <w:color w:val="auto"/>
        </w:rPr>
        <w:t>As of September 30, 2026, the Company had conditional obligations under letters of credit issued pursuant to the Amended Credit Facilities with face amounts aggregating to $23.9 million, resulting in $976.1 million of available borrowing capacity under the Amended Revolving Credit Facility.</w:t>
      </w:r>
    </w:p>
    <w:p>
      <w:pPr>
        <w:spacing w:after="0" w:line="1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Amended Term Loan B Facility</w:t>
      </w:r>
    </w:p>
    <w:p>
      <w:pPr>
        <w:spacing w:after="0" w:line="180" w:lineRule="exact"/>
        <w:rPr>
          <w:sz w:val="20"/>
          <w:szCs w:val="20"/>
          <w:color w:val="auto"/>
        </w:rPr>
      </w:pPr>
    </w:p>
    <w:p>
      <w:pPr>
        <w:ind w:right="260" w:firstLine="319"/>
        <w:spacing w:after="0" w:line="255" w:lineRule="auto"/>
        <w:rPr>
          <w:sz w:val="20"/>
          <w:szCs w:val="20"/>
          <w:color w:val="auto"/>
        </w:rPr>
      </w:pPr>
      <w:r>
        <w:rPr>
          <w:rFonts w:ascii="Times New Roman" w:cs="Times New Roman" w:eastAsia="Times New Roman" w:hAnsi="Times New Roman"/>
          <w:sz w:val="18"/>
          <w:szCs w:val="18"/>
          <w:color w:val="auto"/>
        </w:rPr>
        <w:t>On May 28, 2026, the Company entered into a Fourth Amendment to the Second Amended and Restated Credit Agreement (the “Fourth Amendment Agreement”), which extended the maturity of the $962.5 million Amended Term Loan B Facility to May 2033 and reduced the applicable interest rate margins by 50 basis points to 2.00% per annum for Term SOFR loans and 1.00% for base rate loans. The facility is subject to a Term SOFR floor of 0.50% per annum and a base rate floor of 1.50% per annum.</w:t>
      </w:r>
    </w:p>
    <w:p>
      <w:pPr>
        <w:spacing w:after="0" w:line="143" w:lineRule="exact"/>
        <w:rPr>
          <w:sz w:val="20"/>
          <w:szCs w:val="20"/>
          <w:color w:val="auto"/>
        </w:rPr>
      </w:pPr>
    </w:p>
    <w:p>
      <w:pPr>
        <w:jc w:val="both"/>
        <w:ind w:right="220" w:firstLine="319"/>
        <w:spacing w:after="0" w:line="260" w:lineRule="auto"/>
        <w:rPr>
          <w:sz w:val="20"/>
          <w:szCs w:val="20"/>
          <w:color w:val="auto"/>
        </w:rPr>
      </w:pPr>
      <w:r>
        <w:rPr>
          <w:rFonts w:ascii="Times New Roman" w:cs="Times New Roman" w:eastAsia="Times New Roman" w:hAnsi="Times New Roman"/>
          <w:sz w:val="18"/>
          <w:szCs w:val="18"/>
          <w:color w:val="auto"/>
        </w:rPr>
        <w:t>In connection with the Third Amendment Agreement and Fourth Amendment Agreement, the Company recorded $16.3 million of debt issuance costs. Additionally, the Company recorded a $2.4 million original issue discount associated with the Amended Term Loan B Facility. Both the debt issuance costs and original issue discount will be amortized to interest expense over the remaining terms of the respective facilities.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6.75% Senior Unsecured Notes</w:t>
      </w:r>
    </w:p>
    <w:p>
      <w:pPr>
        <w:spacing w:after="0" w:line="182" w:lineRule="exact"/>
        <w:rPr>
          <w:sz w:val="20"/>
          <w:szCs w:val="20"/>
          <w:color w:val="auto"/>
        </w:rPr>
      </w:pPr>
    </w:p>
    <w:p>
      <w:pPr>
        <w:ind w:right="160" w:firstLine="319"/>
        <w:spacing w:after="0" w:line="272" w:lineRule="auto"/>
        <w:rPr>
          <w:sz w:val="20"/>
          <w:szCs w:val="20"/>
          <w:color w:val="auto"/>
        </w:rPr>
      </w:pPr>
      <w:r>
        <w:rPr>
          <w:rFonts w:ascii="Times New Roman" w:cs="Times New Roman" w:eastAsia="Times New Roman" w:hAnsi="Times New Roman"/>
          <w:sz w:val="17"/>
          <w:szCs w:val="17"/>
          <w:color w:val="auto"/>
        </w:rPr>
        <w:t>On March 16, 2026, the Company completed an offering of $600.0 million aggregate principal amount of 6.75% senior unsecured notes that mature on April 1, 2031 (the “6.75% Notes”). The 6.75% Notes were issued at par and interest is payable semi-annually on April 1st and October 1st of each year. The</w:t>
      </w:r>
    </w:p>
    <w:p>
      <w:pPr>
        <w:spacing w:after="0" w:line="1"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6.75% Notes are not guaranteed by any of the Company’s subsidiaries except in the event that the Company, in the future, issues certain subsidiary-guaranteed debt securities. The Company may redeem the 6.75% Notes at any time on or after April 1, 2028, at the declining redemption premiums set forth in the indenture governing the 6.75% Notes, and, prior to April 1, 2028, at a “make-whole” redemption premium set forth in the indenture governing the 6.75% Notes. Net proceeds of the 6.75% Notes were used to repay borrowings under the Amended Revolving Credit Facility.</w:t>
      </w:r>
    </w:p>
    <w:p>
      <w:pPr>
        <w:spacing w:after="0" w:line="148" w:lineRule="exact"/>
        <w:rPr>
          <w:sz w:val="20"/>
          <w:szCs w:val="20"/>
          <w:color w:val="auto"/>
        </w:rPr>
      </w:pPr>
    </w:p>
    <w:p>
      <w:pPr>
        <w:ind w:right="440" w:firstLine="319"/>
        <w:spacing w:after="0" w:line="275" w:lineRule="auto"/>
        <w:rPr>
          <w:sz w:val="20"/>
          <w:szCs w:val="20"/>
          <w:color w:val="auto"/>
        </w:rPr>
      </w:pPr>
      <w:r>
        <w:rPr>
          <w:rFonts w:ascii="Times New Roman" w:cs="Times New Roman" w:eastAsia="Times New Roman" w:hAnsi="Times New Roman"/>
          <w:sz w:val="18"/>
          <w:szCs w:val="18"/>
          <w:color w:val="auto"/>
        </w:rPr>
        <w:t>In connection with the issuance of the 6.75% Notes, the Company recorded $10.3 million in debt issuance costs, which will be amortized to interest expense over the life of the 6.75% Notes.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5.625% Senior Unsecured Notes</w:t>
      </w:r>
    </w:p>
    <w:p>
      <w:pPr>
        <w:spacing w:after="0" w:line="182" w:lineRule="exact"/>
        <w:rPr>
          <w:sz w:val="20"/>
          <w:szCs w:val="20"/>
          <w:color w:val="auto"/>
        </w:rPr>
      </w:pPr>
    </w:p>
    <w:p>
      <w:pPr>
        <w:ind w:firstLine="319"/>
        <w:spacing w:after="0" w:line="252" w:lineRule="auto"/>
        <w:rPr>
          <w:sz w:val="20"/>
          <w:szCs w:val="20"/>
          <w:color w:val="auto"/>
        </w:rPr>
      </w:pPr>
      <w:r>
        <w:rPr>
          <w:rFonts w:ascii="Times New Roman" w:cs="Times New Roman" w:eastAsia="Times New Roman" w:hAnsi="Times New Roman"/>
          <w:sz w:val="18"/>
          <w:szCs w:val="18"/>
          <w:color w:val="auto"/>
        </w:rPr>
        <w:t>On January 19, 2017, the Company completed an offering of $400.0 million aggregate principal amount of 5.625% senior unsecured notes that mature on January 15, 2027 (the “5.625% Notes”). The 5.625% Notes were issued at par and interest is payable semi-annually on January 15th and July 15th of each year. The 5.625% Notes are not guaranteed by any of the Company’s subsidiaries except in the event that the Company, in the future, issues certain subsidiary-guaranteed debt securities. The Company may redeem the 5.625% Notes at any time on or after January 15, 2022, at the declining redemption premiums set forth in the indenture governing the 5.625% Notes. As of September 30, 2026, the 5.625% Notes are scheduled to mature within the next twelve months. However, the Company has classified this obligation as long-term based on its intent and ability to refinance on a long-term basis.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179705</wp:posOffset>
            </wp:positionV>
            <wp:extent cx="716026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2.75% Unsecured Convertible Notes</w:t>
      </w:r>
    </w:p>
    <w:p>
      <w:pPr>
        <w:spacing w:after="0" w:line="195" w:lineRule="exact"/>
        <w:rPr>
          <w:sz w:val="20"/>
          <w:szCs w:val="20"/>
          <w:color w:val="auto"/>
        </w:rPr>
      </w:pPr>
    </w:p>
    <w:p>
      <w:pPr>
        <w:ind w:right="660" w:firstLine="319"/>
        <w:spacing w:after="0" w:line="275" w:lineRule="auto"/>
        <w:rPr>
          <w:sz w:val="20"/>
          <w:szCs w:val="20"/>
          <w:color w:val="auto"/>
        </w:rPr>
      </w:pPr>
      <w:r>
        <w:rPr>
          <w:rFonts w:ascii="Times New Roman" w:cs="Times New Roman" w:eastAsia="Times New Roman" w:hAnsi="Times New Roman"/>
          <w:sz w:val="18"/>
          <w:szCs w:val="18"/>
          <w:color w:val="auto"/>
        </w:rPr>
        <w:t>In May 2020, the Company completed a public offering of $330.5 million aggregate principal amount of 2.75% unsecured convertible notes (the “Convertible Notes”) that matured, unless earlier converted, redeemed, or repurchased, on May 15, 2026 at a price of par.</w:t>
      </w:r>
    </w:p>
    <w:p>
      <w:pPr>
        <w:spacing w:after="0" w:line="123" w:lineRule="exact"/>
        <w:rPr>
          <w:sz w:val="20"/>
          <w:szCs w:val="20"/>
          <w:color w:val="auto"/>
        </w:rPr>
      </w:pPr>
    </w:p>
    <w:p>
      <w:pPr>
        <w:ind w:right="20" w:firstLine="319"/>
        <w:spacing w:after="0" w:line="255" w:lineRule="auto"/>
        <w:rPr>
          <w:sz w:val="20"/>
          <w:szCs w:val="20"/>
          <w:color w:val="auto"/>
        </w:rPr>
      </w:pPr>
      <w:r>
        <w:rPr>
          <w:rFonts w:ascii="Times New Roman" w:cs="Times New Roman" w:eastAsia="Times New Roman" w:hAnsi="Times New Roman"/>
          <w:sz w:val="18"/>
          <w:szCs w:val="18"/>
          <w:color w:val="auto"/>
        </w:rPr>
        <w:t>On June 13, 2025, the Company entered into an agreement with certain holders of the Convertible Notes to repurchase $223.8 million aggregate principal amount of the Convertible Notes. As a result of the repurchases on June 20, 2025, the Company recorded an $11.8 million loss on the early extinguishment of debt during the nine months ended September 30, 2025, which is included in “Loss on early extinguishment of debt” within the unaudited Consolidated Statements of Operations.</w:t>
      </w:r>
    </w:p>
    <w:p>
      <w:pPr>
        <w:spacing w:after="0" w:line="143" w:lineRule="exact"/>
        <w:rPr>
          <w:sz w:val="20"/>
          <w:szCs w:val="20"/>
          <w:color w:val="auto"/>
        </w:rPr>
      </w:pPr>
    </w:p>
    <w:p>
      <w:pPr>
        <w:jc w:val="both"/>
        <w:ind w:right="20" w:firstLine="319"/>
        <w:spacing w:after="0" w:line="260" w:lineRule="auto"/>
        <w:rPr>
          <w:sz w:val="20"/>
          <w:szCs w:val="20"/>
          <w:color w:val="auto"/>
        </w:rPr>
      </w:pPr>
      <w:r>
        <w:rPr>
          <w:rFonts w:ascii="Times New Roman" w:cs="Times New Roman" w:eastAsia="Times New Roman" w:hAnsi="Times New Roman"/>
          <w:sz w:val="18"/>
          <w:szCs w:val="18"/>
          <w:color w:val="auto"/>
        </w:rPr>
        <w:t>In May 2026, the Company repaid the remaining $106.7 million principal balance of the Convertible Notes. As of September 30, 2026, the Company had no outstanding balance on the Convertible Notes. None of the Convertible Notes were converted into shares of the Company’s common stock while they were outstanding.</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85"/>
        </w:trPr>
        <w:tc>
          <w:tcPr>
            <w:tcW w:w="20" w:type="dxa"/>
            <w:vAlign w:val="bottom"/>
          </w:tcPr>
          <w:p>
            <w:pPr>
              <w:spacing w:after="0"/>
              <w:rPr>
                <w:sz w:val="24"/>
                <w:szCs w:val="24"/>
                <w:color w:val="auto"/>
              </w:rPr>
            </w:pPr>
          </w:p>
        </w:tc>
        <w:tc>
          <w:tcPr>
            <w:tcW w:w="53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The table below presents interest expense, net:</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2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60" w:type="dxa"/>
            <w:vAlign w:val="bottom"/>
          </w:tcPr>
          <w:p>
            <w:pPr>
              <w:spacing w:after="0"/>
              <w:rPr>
                <w:sz w:val="18"/>
                <w:szCs w:val="18"/>
                <w:color w:val="auto"/>
              </w:rPr>
            </w:pPr>
          </w:p>
        </w:tc>
        <w:tc>
          <w:tcPr>
            <w:tcW w:w="2620" w:type="dxa"/>
            <w:vAlign w:val="bottom"/>
            <w:gridSpan w:val="4"/>
          </w:tcPr>
          <w:p>
            <w:pPr>
              <w:jc w:val="center"/>
              <w:ind w:right="171"/>
              <w:spacing w:after="0"/>
              <w:rPr>
                <w:sz w:val="20"/>
                <w:szCs w:val="20"/>
                <w:color w:val="auto"/>
              </w:rPr>
            </w:pPr>
            <w:r>
              <w:rPr>
                <w:rFonts w:ascii="Times New Roman" w:cs="Times New Roman" w:eastAsia="Times New Roman" w:hAnsi="Times New Roman"/>
                <w:sz w:val="18"/>
                <w:szCs w:val="18"/>
                <w:b w:val="1"/>
                <w:bCs w:val="1"/>
                <w:color w:val="auto"/>
                <w:w w:val="99"/>
              </w:rPr>
              <w:t>For the nine months ended</w:t>
            </w:r>
          </w:p>
        </w:tc>
      </w:tr>
      <w:tr>
        <w:trPr>
          <w:trHeight w:val="236"/>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center"/>
              <w:ind w:left="531"/>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880" w:type="dxa"/>
            <w:vAlign w:val="bottom"/>
            <w:tcBorders>
              <w:bottom w:val="single" w:sz="8" w:color="auto"/>
            </w:tcBorders>
          </w:tcPr>
          <w:p>
            <w:pPr>
              <w:spacing w:after="0"/>
              <w:rPr>
                <w:sz w:val="20"/>
                <w:szCs w:val="20"/>
                <w:color w:val="auto"/>
              </w:rPr>
            </w:pPr>
          </w:p>
        </w:tc>
      </w:tr>
      <w:tr>
        <w:trPr>
          <w:trHeight w:val="182"/>
        </w:trPr>
        <w:tc>
          <w:tcPr>
            <w:tcW w:w="5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60" w:type="dxa"/>
            <w:vAlign w:val="bottom"/>
          </w:tcPr>
          <w:p>
            <w:pPr>
              <w:spacing w:after="0"/>
              <w:rPr>
                <w:sz w:val="15"/>
                <w:szCs w:val="15"/>
                <w:color w:val="auto"/>
              </w:rPr>
            </w:pPr>
          </w:p>
        </w:tc>
        <w:tc>
          <w:tcPr>
            <w:tcW w:w="1140" w:type="dxa"/>
            <w:vAlign w:val="bottom"/>
          </w:tcPr>
          <w:p>
            <w:pPr>
              <w:jc w:val="right"/>
              <w:ind w:right="431"/>
              <w:spacing w:after="0" w:line="166" w:lineRule="exact"/>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jc w:val="right"/>
              <w:ind w:right="431"/>
              <w:spacing w:after="0" w:line="166" w:lineRule="exact"/>
              <w:rPr>
                <w:sz w:val="20"/>
                <w:szCs w:val="20"/>
                <w:color w:val="auto"/>
              </w:rPr>
            </w:pPr>
            <w:r>
              <w:rPr>
                <w:rFonts w:ascii="Times New Roman" w:cs="Times New Roman" w:eastAsia="Times New Roman" w:hAnsi="Times New Roman"/>
                <w:sz w:val="18"/>
                <w:szCs w:val="18"/>
                <w:b w:val="1"/>
                <w:bCs w:val="1"/>
                <w:color w:val="auto"/>
                <w:w w:val="94"/>
              </w:rPr>
              <w:t>2025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ind w:right="431"/>
              <w:spacing w:after="0" w:line="166" w:lineRule="exact"/>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jc w:val="right"/>
              <w:ind w:right="431"/>
              <w:spacing w:after="0" w:line="166" w:lineRule="exact"/>
              <w:rPr>
                <w:sz w:val="20"/>
                <w:szCs w:val="20"/>
                <w:color w:val="auto"/>
              </w:rPr>
            </w:pPr>
            <w:r>
              <w:rPr>
                <w:rFonts w:ascii="Times New Roman" w:cs="Times New Roman" w:eastAsia="Times New Roman" w:hAnsi="Times New Roman"/>
                <w:sz w:val="18"/>
                <w:szCs w:val="18"/>
                <w:b w:val="1"/>
                <w:bCs w:val="1"/>
                <w:color w:val="auto"/>
                <w:w w:val="94"/>
              </w:rPr>
              <w:t>2025</w:t>
            </w:r>
          </w:p>
        </w:tc>
      </w:tr>
      <w:tr>
        <w:trPr>
          <w:trHeight w:val="33"/>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4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2"/>
        </w:trPr>
        <w:tc>
          <w:tcPr>
            <w:tcW w:w="5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322.1</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338.3</w:t>
            </w:r>
          </w:p>
        </w:tc>
      </w:tr>
      <w:tr>
        <w:trPr>
          <w:trHeight w:val="239"/>
        </w:trPr>
        <w:tc>
          <w:tcPr>
            <w:tcW w:w="53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Capitalized interest</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(34.4)</w:t>
            </w:r>
          </w:p>
        </w:tc>
      </w:tr>
      <w:tr>
        <w:trPr>
          <w:trHeight w:val="257"/>
        </w:trPr>
        <w:tc>
          <w:tcPr>
            <w:tcW w:w="53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307.7</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303.9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4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Covenants</w:t>
      </w:r>
    </w:p>
    <w:p>
      <w:pPr>
        <w:spacing w:after="0" w:line="182" w:lineRule="exact"/>
        <w:rPr>
          <w:sz w:val="20"/>
          <w:szCs w:val="20"/>
          <w:color w:val="auto"/>
        </w:rPr>
      </w:pPr>
    </w:p>
    <w:p>
      <w:pPr>
        <w:ind w:right="140" w:firstLine="319"/>
        <w:spacing w:after="0" w:line="251" w:lineRule="auto"/>
        <w:rPr>
          <w:sz w:val="20"/>
          <w:szCs w:val="20"/>
          <w:color w:val="auto"/>
        </w:rPr>
      </w:pPr>
      <w:r>
        <w:rPr>
          <w:rFonts w:ascii="Times New Roman" w:cs="Times New Roman" w:eastAsia="Times New Roman" w:hAnsi="Times New Roman"/>
          <w:sz w:val="18"/>
          <w:szCs w:val="18"/>
          <w:color w:val="auto"/>
        </w:rPr>
        <w:t xml:space="preserve">Our Amended Credit Facilities, 5.625% Notes, 4.125% Notes due 2029 (the “4.125% Notes”), and 6.75% Notes, require us, among other obligations, to maintain specified financial ratios and to satisfy certain financial tests. In addition, our Amended Credit Facilities, 5.625% Notes, 4.125% Notes, and 6.75% Notes, restrict, among other things, our ability to incur additional indebtedness, incur guarantee obligations, amend debt instruments, pay dividends, create liens on assets, make investments, engage in mergers or consolidations, and otherwise restrict corporate activities. Our debt agreements also contain customary events of default, including cross-default provisions that require us to meet certain requirements under the Master Leases (which are described in </w:t>
      </w:r>
      <w:r>
        <w:rPr>
          <w:rFonts w:ascii="Times New Roman" w:cs="Times New Roman" w:eastAsia="Times New Roman" w:hAnsi="Times New Roman"/>
          <w:sz w:val="18"/>
          <w:szCs w:val="18"/>
          <w:u w:val="single" w:color="auto"/>
          <w:color w:val="0000FF"/>
        </w:rPr>
        <w:t>Note 6, “Leases”</w:t>
      </w:r>
      <w:r>
        <w:rPr>
          <w:rFonts w:ascii="Times New Roman" w:cs="Times New Roman" w:eastAsia="Times New Roman" w:hAnsi="Times New Roman"/>
          <w:sz w:val="18"/>
          <w:szCs w:val="18"/>
          <w:color w:val="000000"/>
        </w:rPr>
        <w:t>), each with GLPI. If we are unable to meet our financial covenants or in the event of a cross-default, it could trigger an acceleration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payment terms.</w:t>
      </w:r>
    </w:p>
    <w:p>
      <w:pPr>
        <w:spacing w:after="0" w:line="158" w:lineRule="exact"/>
        <w:rPr>
          <w:sz w:val="20"/>
          <w:szCs w:val="20"/>
          <w:color w:val="auto"/>
        </w:rPr>
      </w:pPr>
    </w:p>
    <w:p>
      <w:pPr>
        <w:ind w:right="340" w:firstLine="319"/>
        <w:spacing w:after="0" w:line="260" w:lineRule="auto"/>
        <w:rPr>
          <w:sz w:val="20"/>
          <w:szCs w:val="20"/>
          <w:color w:val="auto"/>
        </w:rPr>
      </w:pPr>
      <w:r>
        <w:rPr>
          <w:rFonts w:ascii="Times New Roman" w:cs="Times New Roman" w:eastAsia="Times New Roman" w:hAnsi="Times New Roman"/>
          <w:sz w:val="18"/>
          <w:szCs w:val="18"/>
          <w:color w:val="auto"/>
        </w:rPr>
        <w:t>As of September 30, 2026, the Company was in compliance with all required financial covenants. The Company believes that it will remain in compliance with all of its required financial covenants for at least the next twelve months following the date of filing this Quarterly Report on Form 10-Q with the SEC.</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Long-Term Obligation</w:t>
      </w:r>
    </w:p>
    <w:p>
      <w:pPr>
        <w:spacing w:after="0" w:line="182" w:lineRule="exact"/>
        <w:rPr>
          <w:sz w:val="20"/>
          <w:szCs w:val="20"/>
          <w:color w:val="auto"/>
        </w:rPr>
      </w:pPr>
    </w:p>
    <w:p>
      <w:pPr>
        <w:ind w:right="100" w:firstLine="319"/>
        <w:spacing w:after="0" w:line="253" w:lineRule="auto"/>
        <w:rPr>
          <w:sz w:val="20"/>
          <w:szCs w:val="20"/>
          <w:color w:val="auto"/>
        </w:rPr>
      </w:pPr>
      <w:r>
        <w:rPr>
          <w:rFonts w:ascii="Times New Roman" w:cs="Times New Roman" w:eastAsia="Times New Roman" w:hAnsi="Times New Roman"/>
          <w:sz w:val="18"/>
          <w:szCs w:val="18"/>
          <w:color w:val="auto"/>
        </w:rPr>
        <w:t>In February 2021, the Company entered into a financing arrangement with a third-party, which provided the Company with upfront and non-refundable cash proceeds while permitting us to participate in future proceeds on certain insurance coverage claims for economic losses PENN sustained due to the COVID-19 pandemic. During the three months ended March 31, 2025, the Company determined that obligations under these claims were no longer probable and therefore recognized a $215.1 million non-cash gain, which was recorded as “Gain on financing arrangement” within the unaudited Consolidated Statements of Operations for the nine months ended September 30, 2025.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6—Leases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Master Leases</w:t>
      </w:r>
    </w:p>
    <w:p>
      <w:pPr>
        <w:spacing w:after="0" w:line="182" w:lineRule="exact"/>
        <w:rPr>
          <w:sz w:val="20"/>
          <w:szCs w:val="20"/>
          <w:color w:val="auto"/>
        </w:rPr>
      </w:pPr>
    </w:p>
    <w:p>
      <w:pPr>
        <w:ind w:right="80" w:firstLine="319"/>
        <w:spacing w:after="0" w:line="255" w:lineRule="auto"/>
        <w:rPr>
          <w:sz w:val="20"/>
          <w:szCs w:val="20"/>
          <w:color w:val="auto"/>
        </w:rPr>
      </w:pPr>
      <w:r>
        <w:rPr>
          <w:rFonts w:ascii="Times New Roman" w:cs="Times New Roman" w:eastAsia="Times New Roman" w:hAnsi="Times New Roman"/>
          <w:sz w:val="18"/>
          <w:szCs w:val="18"/>
          <w:color w:val="auto"/>
        </w:rPr>
        <w:t>The components contained within the Master Leases are accounted for as either (i) operating leases, (ii) finance leases, or (iii) financing obligations. Changes to future lease payments that are not fixed within the Master Leases (i.e., when future escalators become known or future variable rent resets occur), which are discussed below, require the Company to either (i) increase both the right-of-use (“ROU”) assets and corresponding lease liabilities with respect to operating and finance leases or (ii) record the incremental variable payment associated with the financing obligation to interest expense.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187960</wp:posOffset>
            </wp:positionV>
            <wp:extent cx="716026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AR PENN Master Lease</w:t>
      </w:r>
    </w:p>
    <w:p>
      <w:pPr>
        <w:spacing w:after="0" w:line="193" w:lineRule="exact"/>
        <w:rPr>
          <w:sz w:val="20"/>
          <w:szCs w:val="20"/>
          <w:color w:val="auto"/>
        </w:rPr>
      </w:pPr>
    </w:p>
    <w:p>
      <w:pPr>
        <w:ind w:firstLine="319"/>
        <w:spacing w:after="0" w:line="268" w:lineRule="auto"/>
        <w:rPr>
          <w:sz w:val="20"/>
          <w:szCs w:val="20"/>
          <w:color w:val="auto"/>
        </w:rPr>
      </w:pPr>
      <w:r>
        <w:rPr>
          <w:rFonts w:ascii="Times New Roman" w:cs="Times New Roman" w:eastAsia="Times New Roman" w:hAnsi="Times New Roman"/>
          <w:sz w:val="17"/>
          <w:szCs w:val="17"/>
          <w:color w:val="auto"/>
        </w:rPr>
        <w:t>On February 21, 2023, the Company and GLPI entered into an agreement to amend and restate the triple net master lease dated November 1, 2013 (the “AR PENN Master Lease”), effective January 1, 2023, to (i) remove the land and buildings for Hollywood Casino Aurora (“Aurora”), Hollywood Casino Joliet (“Joliet”), Hollywood Casino Columbus (“Columbus”), Hollywood Casino Toledo (“Toledo”), and M Resort Spa Casino (“M Resort”), and (ii) make associated adjustments to the rent. Subsequent to the execution of the AR PENN Master Lease, the lease contains real estate assets associated with 14 of the Company’s gaming facilities used in its operations. The current term of the AR PENN Master Lease expires on October 31, 2033 and thereafter contains three renewal periods of five years each on the same terms and conditions, exercisable at the Company’s option. The AR PENN Master Lease, along with the 2023 Master Lease (as defined and discussed below), are cross-defaulted, cross-collateralized, and coterminous, and subject to a parent guarantee.</w:t>
      </w:r>
    </w:p>
    <w:p>
      <w:pPr>
        <w:spacing w:after="0" w:line="132" w:lineRule="exact"/>
        <w:rPr>
          <w:sz w:val="20"/>
          <w:szCs w:val="20"/>
          <w:color w:val="auto"/>
        </w:rPr>
      </w:pPr>
    </w:p>
    <w:p>
      <w:pPr>
        <w:ind w:right="60" w:firstLine="319"/>
        <w:spacing w:after="0" w:line="255" w:lineRule="auto"/>
        <w:rPr>
          <w:sz w:val="20"/>
          <w:szCs w:val="20"/>
          <w:color w:val="auto"/>
        </w:rPr>
      </w:pPr>
      <w:r>
        <w:rPr>
          <w:rFonts w:ascii="Times New Roman" w:cs="Times New Roman" w:eastAsia="Times New Roman" w:hAnsi="Times New Roman"/>
          <w:sz w:val="18"/>
          <w:szCs w:val="18"/>
          <w:color w:val="auto"/>
        </w:rPr>
        <w:t>The payment structure under the AR PENN Master Lease includes a fixed component, a portion of which is subject to an annual escalator of up to 2%, depending on the Adjusted Revenue to Rent Ratio (as defined in the AR PENN Master Lease) of 1.8:1, and a component that is based on performance, which is prospectively adjusted every five years by an amount equal to 4% of the average change in net revenues of all properties associated with the AR PENN Master Lease compared to a contractual baseline during the preceding five years (“AR PENN Percentage Rent”).</w:t>
      </w:r>
    </w:p>
    <w:p>
      <w:pPr>
        <w:spacing w:after="0" w:line="143" w:lineRule="exact"/>
        <w:rPr>
          <w:sz w:val="20"/>
          <w:szCs w:val="20"/>
          <w:color w:val="auto"/>
        </w:rPr>
      </w:pPr>
    </w:p>
    <w:p>
      <w:pPr>
        <w:ind w:right="140" w:firstLine="319"/>
        <w:spacing w:after="0" w:line="275" w:lineRule="auto"/>
        <w:rPr>
          <w:sz w:val="20"/>
          <w:szCs w:val="20"/>
          <w:color w:val="auto"/>
        </w:rPr>
      </w:pPr>
      <w:r>
        <w:rPr>
          <w:rFonts w:ascii="Times New Roman" w:cs="Times New Roman" w:eastAsia="Times New Roman" w:hAnsi="Times New Roman"/>
          <w:sz w:val="18"/>
          <w:szCs w:val="18"/>
          <w:color w:val="auto"/>
        </w:rPr>
        <w:t>The land and building components contained within the AR PENN Master Lease are classified as operating leases and the related expenses are included in “General and administrative” within the unaudited Consolidated Statements of Operations.</w:t>
      </w:r>
    </w:p>
    <w:p>
      <w:pPr>
        <w:spacing w:after="0" w:line="137" w:lineRule="exact"/>
        <w:rPr>
          <w:sz w:val="20"/>
          <w:szCs w:val="20"/>
          <w:color w:val="auto"/>
        </w:rPr>
      </w:pPr>
    </w:p>
    <w:p>
      <w:pPr>
        <w:ind w:right="340" w:firstLine="319"/>
        <w:spacing w:after="0" w:line="275" w:lineRule="auto"/>
        <w:rPr>
          <w:sz w:val="20"/>
          <w:szCs w:val="20"/>
          <w:color w:val="auto"/>
        </w:rPr>
      </w:pPr>
      <w:r>
        <w:rPr>
          <w:rFonts w:ascii="Times New Roman" w:cs="Times New Roman" w:eastAsia="Times New Roman" w:hAnsi="Times New Roman"/>
          <w:sz w:val="18"/>
          <w:szCs w:val="18"/>
          <w:color w:val="auto"/>
        </w:rPr>
        <w:t>As a result of the annual escalator, effective November 1, 2026, for the lease year ending October 31, 2026, the fixed component of rent increased by $4.4 million. The next AR PENN Percentage Rent reset is scheduled to occur on November 1, 2028.</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2023 Master Lease</w:t>
      </w:r>
    </w:p>
    <w:p>
      <w:pPr>
        <w:spacing w:after="0" w:line="180" w:lineRule="exact"/>
        <w:rPr>
          <w:sz w:val="20"/>
          <w:szCs w:val="20"/>
          <w:color w:val="auto"/>
        </w:rPr>
      </w:pPr>
    </w:p>
    <w:p>
      <w:pPr>
        <w:ind w:right="120" w:firstLine="319"/>
        <w:spacing w:after="0" w:line="252" w:lineRule="auto"/>
        <w:rPr>
          <w:sz w:val="20"/>
          <w:szCs w:val="20"/>
          <w:color w:val="auto"/>
        </w:rPr>
      </w:pPr>
      <w:r>
        <w:rPr>
          <w:rFonts w:ascii="Times New Roman" w:cs="Times New Roman" w:eastAsia="Times New Roman" w:hAnsi="Times New Roman"/>
          <w:sz w:val="18"/>
          <w:szCs w:val="18"/>
          <w:color w:val="auto"/>
        </w:rPr>
        <w:t>Concurrent with the execution of the AR PENN Master Lease, the Company and GLPI entered into a new triple net master lease (the “2023 Master Lease”), effective January 1, 2023, specific to the property associated with Aurora, Joliet, Columbus, Toledo, M Resort, Hollywood Casino at The Meadows (“Meadows”), and Hollywood Casino Perryville (“Perryville”) and a master development agreement (the “Master Development Agreement”). The 2023 Master Lease has an initial term through October 31, 2033 with three subsequent five-year renewal periods on the same terms and conditions, exercisable at the Company’s option. The 2023 Master Lease terminated the individual triple net leases associated with Meadows and Perryville. The 2023 Master Lease and AR PENN Master Lease are cross-defaulted, cross-collateralized, and coterminous, and subject to a parent guarantee.</w:t>
      </w:r>
    </w:p>
    <w:p>
      <w:pPr>
        <w:spacing w:after="0" w:line="157" w:lineRule="exact"/>
        <w:rPr>
          <w:sz w:val="20"/>
          <w:szCs w:val="20"/>
          <w:color w:val="auto"/>
        </w:rPr>
      </w:pPr>
    </w:p>
    <w:p>
      <w:pPr>
        <w:ind w:firstLine="319"/>
        <w:spacing w:after="0" w:line="266" w:lineRule="auto"/>
        <w:rPr>
          <w:sz w:val="20"/>
          <w:szCs w:val="20"/>
          <w:color w:val="auto"/>
        </w:rPr>
      </w:pPr>
      <w:r>
        <w:rPr>
          <w:rFonts w:ascii="Times New Roman" w:cs="Times New Roman" w:eastAsia="Times New Roman" w:hAnsi="Times New Roman"/>
          <w:sz w:val="17"/>
          <w:szCs w:val="17"/>
          <w:color w:val="auto"/>
        </w:rPr>
        <w:t>The 2023 Master Lease includes a base rent (the “2023 Master Lease Base Rent”) and the Master Development Agreement contains additional rent (together with the 2023 Master Lease Base Rent, the “2023 Master Lease Rent”) equal to (i) 7.75% of any project funding received by PENN from GLPI for the relocation of our riverboat casino and related developments with respect to Aurora (the “Aurora Project”); and (ii) a percentage, based on the then-current GLPI stock price, of any project funding received by PENN from GLPI for development projects with respect to Joliet (the “Joliet Project”), M Resort (the “M Resort Project”), and Columbus (the “Columbus Project” and together with the Joliet Project and M Resort Project, the “Other Development Projects,” and together with the Aurora Project, referred to as the “PENN Development Projects”). The Master Development Agreement provided that GLPI would fund up to $225.0 million for the Aurora Project and, upon our request, up to $350.0 million in aggregate for the Other Development Projects, as discussed below. The 2023 Master Lease Rent will be subject to a one-time increase of $1.4 million, effective November 1, 2027. The 2023 Master Lease Rent is subject to an annual fixed escalator rent increase of 1.5% which began on November 1, 2023 and will continue to increase annually thereafter.</w:t>
      </w:r>
    </w:p>
    <w:p>
      <w:pPr>
        <w:spacing w:after="0" w:line="135" w:lineRule="exact"/>
        <w:rPr>
          <w:sz w:val="20"/>
          <w:szCs w:val="20"/>
          <w:color w:val="auto"/>
        </w:rPr>
      </w:pPr>
    </w:p>
    <w:p>
      <w:pPr>
        <w:ind w:right="120" w:firstLine="319"/>
        <w:spacing w:after="0" w:line="260" w:lineRule="auto"/>
        <w:rPr>
          <w:sz w:val="20"/>
          <w:szCs w:val="20"/>
          <w:color w:val="auto"/>
        </w:rPr>
      </w:pPr>
      <w:r>
        <w:rPr>
          <w:rFonts w:ascii="Times New Roman" w:cs="Times New Roman" w:eastAsia="Times New Roman" w:hAnsi="Times New Roman"/>
          <w:sz w:val="18"/>
          <w:szCs w:val="18"/>
          <w:color w:val="auto"/>
        </w:rPr>
        <w:t>On August 1, 2025, the Company received the full $130.0 million in committed funding from GLPI for the Joliet Project which opened on August 11, 2025, and on November 3, 2025, the Company received the full $150.0 million in committed funding from GLPI for the M Resort Project, of which the new hotel tower opened on December 1, 2025.</w:t>
      </w:r>
    </w:p>
    <w:p>
      <w:pPr>
        <w:spacing w:after="0" w:line="137" w:lineRule="exact"/>
        <w:rPr>
          <w:sz w:val="20"/>
          <w:szCs w:val="20"/>
          <w:color w:val="auto"/>
        </w:rPr>
      </w:pPr>
    </w:p>
    <w:p>
      <w:pPr>
        <w:ind w:right="340" w:firstLine="319"/>
        <w:spacing w:after="0" w:line="275" w:lineRule="auto"/>
        <w:rPr>
          <w:sz w:val="20"/>
          <w:szCs w:val="20"/>
          <w:color w:val="auto"/>
        </w:rPr>
      </w:pPr>
      <w:r>
        <w:rPr>
          <w:rFonts w:ascii="Times New Roman" w:cs="Times New Roman" w:eastAsia="Times New Roman" w:hAnsi="Times New Roman"/>
          <w:sz w:val="18"/>
          <w:szCs w:val="18"/>
          <w:color w:val="auto"/>
        </w:rPr>
        <w:t>Effective August 1, 2025, we determined that the sale-and-lease back of real estate assets related to the new Joliet facility to GLPI for $130.0 million constituted a lease modification under ASC Topic 842, “Leases” (“ASC 842”).</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187960</wp:posOffset>
            </wp:positionV>
            <wp:extent cx="716026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firstLine="319"/>
        <w:spacing w:after="0" w:line="269" w:lineRule="auto"/>
        <w:rPr>
          <w:sz w:val="20"/>
          <w:szCs w:val="20"/>
          <w:color w:val="auto"/>
        </w:rPr>
      </w:pPr>
      <w:r>
        <w:rPr>
          <w:rFonts w:ascii="Times New Roman" w:cs="Times New Roman" w:eastAsia="Times New Roman" w:hAnsi="Times New Roman"/>
          <w:sz w:val="17"/>
          <w:szCs w:val="17"/>
          <w:color w:val="auto"/>
        </w:rPr>
        <w:t>In connection with the August 1, 2025 lease modification, the Company reassessed the land and building components contained within the 2023 Master Lease and remeasured the related lease liabilities. The assessment and remeasurement included the following elements: (i) the removal of the previously leased Joliet facility assets; (ii) the addition of the newly leased Joliet facility assets; and (iii) a $10.1 million increase in annual rent, which is specific to the lease back of the real estate assets related to the new Joliet facility, subject to annual escalation in accordance with the 2023 Master Lease. The modification did not result in a change to the lease classification, and all lease components continue to be accounted for as operating leases. As of the modification date, the Company recognized $166.3 million in ROU assets and $163.0 million in corresponding lease liabilities in the unaudited Consolidated Balance Sheets.</w:t>
      </w:r>
    </w:p>
    <w:p>
      <w:pPr>
        <w:spacing w:after="0" w:line="146" w:lineRule="exact"/>
        <w:rPr>
          <w:sz w:val="20"/>
          <w:szCs w:val="20"/>
          <w:color w:val="auto"/>
        </w:rPr>
      </w:pPr>
    </w:p>
    <w:p>
      <w:pPr>
        <w:ind w:right="300" w:firstLine="319"/>
        <w:spacing w:after="0" w:line="275" w:lineRule="auto"/>
        <w:rPr>
          <w:sz w:val="20"/>
          <w:szCs w:val="20"/>
          <w:color w:val="auto"/>
        </w:rPr>
      </w:pPr>
      <w:r>
        <w:rPr>
          <w:rFonts w:ascii="Times New Roman" w:cs="Times New Roman" w:eastAsia="Times New Roman" w:hAnsi="Times New Roman"/>
          <w:sz w:val="18"/>
          <w:szCs w:val="18"/>
          <w:color w:val="auto"/>
        </w:rPr>
        <w:t>Effective November 3, 2025, we also determined that the sale-and-lease back of real estate assets related to the new M Resort hotel tower to GLPI for $150.0 million constituted a lease modification under ASC 842.</w:t>
      </w:r>
    </w:p>
    <w:p>
      <w:pPr>
        <w:spacing w:after="0" w:line="123" w:lineRule="exact"/>
        <w:rPr>
          <w:sz w:val="20"/>
          <w:szCs w:val="20"/>
          <w:color w:val="auto"/>
        </w:rPr>
      </w:pPr>
    </w:p>
    <w:p>
      <w:pPr>
        <w:ind w:right="100" w:firstLine="319"/>
        <w:spacing w:after="0" w:line="252" w:lineRule="auto"/>
        <w:rPr>
          <w:sz w:val="20"/>
          <w:szCs w:val="20"/>
          <w:color w:val="auto"/>
        </w:rPr>
      </w:pPr>
      <w:r>
        <w:rPr>
          <w:rFonts w:ascii="Times New Roman" w:cs="Times New Roman" w:eastAsia="Times New Roman" w:hAnsi="Times New Roman"/>
          <w:sz w:val="18"/>
          <w:szCs w:val="18"/>
          <w:color w:val="auto"/>
        </w:rPr>
        <w:t>In connection with the November 3, 2025 lease modification, the Company reassessed the land and building components contained within the 2023 Master Lease and remeasured the related lease liabilities. The assessment and remeasurement included an $11.7 million increase in annual rent, which is specific to the lease back of the real estate assets related to the new M Resort hotel tower, subject to annual escalation in accordance with the 2023 Master Lease. The modification did not result in a change to the lease classification, and all lease components continue to be accounted for as operating leases. As of the modification date, the Company recognized an additional ROU asset and corresponding lease liability of $94.0 million in the unaudited Consolidated Balance Sheets.</w:t>
      </w:r>
    </w:p>
    <w:p>
      <w:pPr>
        <w:spacing w:after="0" w:line="144" w:lineRule="exact"/>
        <w:rPr>
          <w:sz w:val="20"/>
          <w:szCs w:val="20"/>
          <w:color w:val="auto"/>
        </w:rPr>
      </w:pPr>
    </w:p>
    <w:p>
      <w:pPr>
        <w:ind w:right="480" w:firstLine="319"/>
        <w:spacing w:after="0" w:line="275" w:lineRule="auto"/>
        <w:rPr>
          <w:sz w:val="20"/>
          <w:szCs w:val="20"/>
          <w:color w:val="auto"/>
        </w:rPr>
      </w:pPr>
      <w:r>
        <w:rPr>
          <w:rFonts w:ascii="Times New Roman" w:cs="Times New Roman" w:eastAsia="Times New Roman" w:hAnsi="Times New Roman"/>
          <w:sz w:val="18"/>
          <w:szCs w:val="18"/>
          <w:color w:val="auto"/>
        </w:rPr>
        <w:t>Concurrent with the opening of the Aurora Project on June 24, 2026, the Company received $216.3 million in funding from GLPI (representing the $225.0 million commitment of GLPI less costs incurred by GLPI with respect to certain land parcels associated with the Aurora Project).</w:t>
      </w:r>
    </w:p>
    <w:p>
      <w:pPr>
        <w:spacing w:after="0" w:line="137" w:lineRule="exact"/>
        <w:rPr>
          <w:sz w:val="20"/>
          <w:szCs w:val="20"/>
          <w:color w:val="auto"/>
        </w:rPr>
      </w:pPr>
    </w:p>
    <w:p>
      <w:pPr>
        <w:ind w:right="20" w:firstLine="319"/>
        <w:spacing w:after="0" w:line="275" w:lineRule="auto"/>
        <w:rPr>
          <w:sz w:val="20"/>
          <w:szCs w:val="20"/>
          <w:color w:val="auto"/>
        </w:rPr>
      </w:pPr>
      <w:r>
        <w:rPr>
          <w:rFonts w:ascii="Times New Roman" w:cs="Times New Roman" w:eastAsia="Times New Roman" w:hAnsi="Times New Roman"/>
          <w:sz w:val="18"/>
          <w:szCs w:val="18"/>
          <w:color w:val="auto"/>
        </w:rPr>
        <w:t>Effective June 24, 2026, we also determined that the sale-and-lease back of real estate assets related to the new Aurora facility to GLPI for $225.0 million constituted a lease modification under ASC 842.</w:t>
      </w:r>
    </w:p>
    <w:p>
      <w:pPr>
        <w:spacing w:after="0" w:line="123" w:lineRule="exact"/>
        <w:rPr>
          <w:sz w:val="20"/>
          <w:szCs w:val="20"/>
          <w:color w:val="auto"/>
        </w:rPr>
      </w:pPr>
    </w:p>
    <w:p>
      <w:pPr>
        <w:ind w:right="200" w:firstLine="319"/>
        <w:spacing w:after="0" w:line="252" w:lineRule="auto"/>
        <w:rPr>
          <w:sz w:val="20"/>
          <w:szCs w:val="20"/>
          <w:color w:val="auto"/>
        </w:rPr>
      </w:pPr>
      <w:r>
        <w:rPr>
          <w:rFonts w:ascii="Times New Roman" w:cs="Times New Roman" w:eastAsia="Times New Roman" w:hAnsi="Times New Roman"/>
          <w:sz w:val="18"/>
          <w:szCs w:val="18"/>
          <w:color w:val="auto"/>
        </w:rPr>
        <w:t>In connection with the June 24, 2026 lease modification, the Company reassessed the land and building components contained within the 2023 Master Lease and remeasured the related lease liabilities. The assessment and remeasurement included the following elements: (i) the addition of the newly leased Aurora facility assets, and (ii) a $17.4 million increase in annual rent, which is specific to the lease back of the real estate assets related to the new Aurora facility, subject to annual escalation in accordance with the 2023 Master Lease. The modification did not result in a change to the lease classification and all lease components continue to be accounted for as operating leases. As of the modification date, the Company recognized an additional ROU asset and corresponding lease liability of $114.7 million in the unaudited Consolidated Balance Sheets.</w:t>
      </w:r>
    </w:p>
    <w:p>
      <w:pPr>
        <w:spacing w:after="0" w:line="144" w:lineRule="exact"/>
        <w:rPr>
          <w:sz w:val="20"/>
          <w:szCs w:val="20"/>
          <w:color w:val="auto"/>
        </w:rPr>
      </w:pPr>
    </w:p>
    <w:p>
      <w:pPr>
        <w:ind w:right="40" w:firstLine="319"/>
        <w:spacing w:after="0" w:line="253" w:lineRule="auto"/>
        <w:rPr>
          <w:sz w:val="20"/>
          <w:szCs w:val="20"/>
          <w:color w:val="auto"/>
        </w:rPr>
      </w:pPr>
      <w:r>
        <w:rPr>
          <w:rFonts w:ascii="Times New Roman" w:cs="Times New Roman" w:eastAsia="Times New Roman" w:hAnsi="Times New Roman"/>
          <w:sz w:val="18"/>
          <w:szCs w:val="18"/>
          <w:color w:val="auto"/>
        </w:rPr>
        <w:t>With respect to the August 1, 2025, November 3, 2025, and June 24, 2026 lease modifications, we concluded that the lease term will continue to end on the current lease expiration date of October 31, 2033, and that the three optional five-year renewal periods are not included in the lease term. As the Company continues to transition from a leading retail gaming operator to a diversified provider of integrated entertainment, sports content, and casino gaming experiences, the execution of its omni-channel strategy has diversified earnings streams and does not provide reasonable assurance that the renewal options will be exercised.</w:t>
      </w:r>
    </w:p>
    <w:p>
      <w:pPr>
        <w:spacing w:after="0" w:line="157" w:lineRule="exact"/>
        <w:rPr>
          <w:sz w:val="20"/>
          <w:szCs w:val="20"/>
          <w:color w:val="auto"/>
        </w:rPr>
      </w:pPr>
    </w:p>
    <w:p>
      <w:pPr>
        <w:ind w:right="360" w:firstLine="319"/>
        <w:spacing w:after="0" w:line="275" w:lineRule="auto"/>
        <w:rPr>
          <w:sz w:val="20"/>
          <w:szCs w:val="20"/>
          <w:color w:val="auto"/>
        </w:rPr>
      </w:pPr>
      <w:r>
        <w:rPr>
          <w:rFonts w:ascii="Times New Roman" w:cs="Times New Roman" w:eastAsia="Times New Roman" w:hAnsi="Times New Roman"/>
          <w:sz w:val="18"/>
          <w:szCs w:val="18"/>
          <w:color w:val="auto"/>
        </w:rPr>
        <w:t>The land and building components contained within the 2023 Master Lease are classified as operating leases and the related expenses are included in “General and administrative” within the unaudited Consolidated Statements of Operations.</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Pinnacle Master Lease</w:t>
      </w:r>
    </w:p>
    <w:p>
      <w:pPr>
        <w:spacing w:after="0" w:line="180" w:lineRule="exact"/>
        <w:rPr>
          <w:sz w:val="20"/>
          <w:szCs w:val="20"/>
          <w:color w:val="auto"/>
        </w:rPr>
      </w:pPr>
    </w:p>
    <w:p>
      <w:pPr>
        <w:ind w:right="140" w:firstLine="319"/>
        <w:spacing w:after="0" w:line="253" w:lineRule="auto"/>
        <w:rPr>
          <w:sz w:val="20"/>
          <w:szCs w:val="20"/>
          <w:color w:val="auto"/>
        </w:rPr>
      </w:pPr>
      <w:r>
        <w:rPr>
          <w:rFonts w:ascii="Times New Roman" w:cs="Times New Roman" w:eastAsia="Times New Roman" w:hAnsi="Times New Roman"/>
          <w:sz w:val="18"/>
          <w:szCs w:val="18"/>
          <w:color w:val="auto"/>
        </w:rPr>
        <w:t>In connection with the acquisition of Pinnacle Entertainment, Inc. on October 15, 2018, the Company assumed a triple net master lease with GLPI (the “Pinnacle Master Lease”), originally effective April 28, 2016, pursuant to which the Company leases real estate assets associated with 12 of the gaming facilities used in its operations. Upon assumption of the Pinnacle Master Lease, as amended, there were 7.5 years remaining of the initial ten-year term, with five subsequent, five-year renewal periods, on the same terms and conditions, exercisable at the Company’s option. The Company has determined that the lease term is through April 30, 2051, which is inclusive of all renewal periods.</w:t>
      </w:r>
    </w:p>
    <w:p>
      <w:pPr>
        <w:spacing w:after="0" w:line="157" w:lineRule="exact"/>
        <w:rPr>
          <w:sz w:val="20"/>
          <w:szCs w:val="20"/>
          <w:color w:val="auto"/>
        </w:rPr>
      </w:pPr>
    </w:p>
    <w:p>
      <w:pPr>
        <w:ind w:right="280" w:firstLine="319"/>
        <w:spacing w:after="0" w:line="255" w:lineRule="auto"/>
        <w:rPr>
          <w:sz w:val="20"/>
          <w:szCs w:val="20"/>
          <w:color w:val="auto"/>
        </w:rPr>
      </w:pPr>
      <w:r>
        <w:rPr>
          <w:rFonts w:ascii="Times New Roman" w:cs="Times New Roman" w:eastAsia="Times New Roman" w:hAnsi="Times New Roman"/>
          <w:sz w:val="18"/>
          <w:szCs w:val="18"/>
          <w:color w:val="auto"/>
        </w:rPr>
        <w:t>The payment structure under the Pinnacle Master Lease includes a fixed component, a portion of which is subject to an annual escalator of up to 2%, depending on the Adjusted Revenue to Rent Ratio (as defined in the Pinnacle Master Lease) of 1.8:1, and a component that is based on performance of the properties, which is prospectively adjusted every two years by an amount equal to 4% of the average change in net revenues compared to a contractual baseline during the preceding two years (“Pinnacle Percentage Rent”).</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179705</wp:posOffset>
            </wp:positionV>
            <wp:extent cx="716026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160" w:firstLine="319"/>
        <w:spacing w:after="0" w:line="255" w:lineRule="auto"/>
        <w:rPr>
          <w:sz w:val="20"/>
          <w:szCs w:val="20"/>
          <w:color w:val="auto"/>
        </w:rPr>
      </w:pPr>
      <w:r>
        <w:rPr>
          <w:rFonts w:ascii="Times New Roman" w:cs="Times New Roman" w:eastAsia="Times New Roman" w:hAnsi="Times New Roman"/>
          <w:sz w:val="18"/>
          <w:szCs w:val="18"/>
          <w:color w:val="auto"/>
        </w:rPr>
        <w:t>The Pinnacle Master Lease contains land and building components that are classified as finance leases and financing obligations. Expenses related to lease components classified as finance leases are recorded to “Depreciation and amortization” and “Interest expense, net” within the unaudited Consolidated Statements of Operations. The Company recognizes interest expense on the lease payments related to the financing obligation under the effective yield method.</w:t>
      </w:r>
    </w:p>
    <w:p>
      <w:pPr>
        <w:spacing w:after="0" w:line="156" w:lineRule="exact"/>
        <w:rPr>
          <w:sz w:val="20"/>
          <w:szCs w:val="20"/>
          <w:color w:val="auto"/>
        </w:rPr>
      </w:pPr>
    </w:p>
    <w:p>
      <w:pPr>
        <w:ind w:right="260" w:firstLine="319"/>
        <w:spacing w:after="0" w:line="255" w:lineRule="auto"/>
        <w:rPr>
          <w:sz w:val="20"/>
          <w:szCs w:val="20"/>
          <w:color w:val="auto"/>
        </w:rPr>
      </w:pPr>
      <w:r>
        <w:rPr>
          <w:rFonts w:ascii="Times New Roman" w:cs="Times New Roman" w:eastAsia="Times New Roman" w:hAnsi="Times New Roman"/>
          <w:sz w:val="18"/>
          <w:szCs w:val="18"/>
          <w:color w:val="auto"/>
        </w:rPr>
        <w:t>We did not incur an annual escalator for the lease year ended April 30, 2026. The next annual escalator test date is scheduled to occur on May 1, 2027. Additionally, on May 1, 2026, the Pinnacle Percentage Rent reset resulted in an annual rent decrease of $3.2 million which will be in effect until the next Pinnacle Percentage Rent reset, scheduled to occur on May 1, 2028. Upon reset of the Pinnacle Percentage Rent, effective May 1, 2026, we recognized an additional ROU asset and corresponding lease liability of $26.6 million associated with the finance lease components.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Triple Net Leases with REIT Landlords</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VICI Master Lease</w:t>
      </w:r>
    </w:p>
    <w:p>
      <w:pPr>
        <w:spacing w:after="0" w:line="193" w:lineRule="exact"/>
        <w:rPr>
          <w:sz w:val="20"/>
          <w:szCs w:val="20"/>
          <w:color w:val="auto"/>
        </w:rPr>
      </w:pPr>
    </w:p>
    <w:p>
      <w:pPr>
        <w:ind w:right="60" w:firstLine="319"/>
        <w:spacing w:after="0" w:line="251" w:lineRule="auto"/>
        <w:rPr>
          <w:sz w:val="20"/>
          <w:szCs w:val="20"/>
          <w:color w:val="auto"/>
        </w:rPr>
      </w:pPr>
      <w:r>
        <w:rPr>
          <w:rFonts w:ascii="Times New Roman" w:cs="Times New Roman" w:eastAsia="Times New Roman" w:hAnsi="Times New Roman"/>
          <w:sz w:val="18"/>
          <w:szCs w:val="18"/>
          <w:color w:val="auto"/>
        </w:rPr>
        <w:t>On December 4, 2025, the Company entered into a triple net master lease with VICI Properties Inc. (NYSE: VICI) (“VICI”) (“VICI Master Lease”) which amended and restated the Margaritaville Lease and the Greektown Lease (both as defined below) into a single combined lease. The VICI Master Lease has an initial term through May 23, 2034, with four subsequent five-year renewal periods on the same terms and conditions, exercisable at the Company’s option. Upon execution of the VICI Master Lease, initial annual rent was set at $80.7 million, representing the aggregate annual rent under the Margaritaville Lease and the Greektown Lease in effect immediately prior to December 4, 2025. Effective June 1, 2026, annual rent increased by 1.0% to $81.5 million. As defined within the VICI Master Lease, beginning June 1, 2027 and annually thereafter, master lease rent is subject to an escalator of 1.0% each June 1, if a Net Revenue to Rent Ratio (as defined in the VICI Master Lease) of 5.33:1 is achieved.</w:t>
      </w:r>
    </w:p>
    <w:p>
      <w:pPr>
        <w:spacing w:after="0" w:line="145" w:lineRule="exact"/>
        <w:rPr>
          <w:sz w:val="20"/>
          <w:szCs w:val="20"/>
          <w:color w:val="auto"/>
        </w:rPr>
      </w:pPr>
    </w:p>
    <w:p>
      <w:pPr>
        <w:ind w:right="160" w:firstLine="319"/>
        <w:spacing w:after="0" w:line="255" w:lineRule="auto"/>
        <w:rPr>
          <w:sz w:val="20"/>
          <w:szCs w:val="20"/>
          <w:color w:val="auto"/>
        </w:rPr>
      </w:pPr>
      <w:r>
        <w:rPr>
          <w:rFonts w:ascii="Times New Roman" w:cs="Times New Roman" w:eastAsia="Times New Roman" w:hAnsi="Times New Roman"/>
          <w:sz w:val="18"/>
          <w:szCs w:val="18"/>
          <w:color w:val="auto"/>
        </w:rPr>
        <w:t>We determined that the execution of the VICI Master Lease constituted a lease modification under ASC 842. As such, the Company reassessed the land and building components and remeasured the related lease liabilities. The modification did not result in a change to the lease classification, and all lease components continue to be accounted for as operating leases. As of the modification date, the Company recognized an additional ROU asset and corresponding lease liability of $53.5 million in our unaudited Consolidated Balance Sheets.</w:t>
      </w:r>
    </w:p>
    <w:p>
      <w:pPr>
        <w:spacing w:after="0" w:line="143" w:lineRule="exact"/>
        <w:rPr>
          <w:sz w:val="20"/>
          <w:szCs w:val="20"/>
          <w:color w:val="auto"/>
        </w:rPr>
      </w:pPr>
    </w:p>
    <w:p>
      <w:pPr>
        <w:ind w:right="120" w:firstLine="319"/>
        <w:spacing w:after="0" w:line="255" w:lineRule="auto"/>
        <w:rPr>
          <w:sz w:val="20"/>
          <w:szCs w:val="20"/>
          <w:color w:val="auto"/>
        </w:rPr>
      </w:pPr>
      <w:r>
        <w:rPr>
          <w:rFonts w:ascii="Times New Roman" w:cs="Times New Roman" w:eastAsia="Times New Roman" w:hAnsi="Times New Roman"/>
          <w:sz w:val="18"/>
          <w:szCs w:val="18"/>
          <w:color w:val="auto"/>
        </w:rPr>
        <w:t>With respect to the December 4, 2025 lease modification, we concluded that the lease term ends on May 23, 2034, the expiration of the initial 15-year lease period, and that the four optional five-year renewal periods are not included in the lease term. As the Company continues to transition from a leading retail gaming operator to a diversified provider of integrated entertainment, sports content, and casino gaming experiences, the execution of its omni-channel strategy has diversified earnings streams and does not provide reasonable assurance that the renewal options will be exercised.</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Margaritaville Lease</w:t>
      </w:r>
    </w:p>
    <w:p>
      <w:pPr>
        <w:spacing w:after="0" w:line="180" w:lineRule="exact"/>
        <w:rPr>
          <w:sz w:val="20"/>
          <w:szCs w:val="20"/>
          <w:color w:val="auto"/>
        </w:rPr>
      </w:pPr>
    </w:p>
    <w:p>
      <w:pPr>
        <w:ind w:firstLine="319"/>
        <w:spacing w:after="0" w:line="269" w:lineRule="auto"/>
        <w:rPr>
          <w:sz w:val="20"/>
          <w:szCs w:val="20"/>
          <w:color w:val="auto"/>
        </w:rPr>
      </w:pPr>
      <w:r>
        <w:rPr>
          <w:rFonts w:ascii="Times New Roman" w:cs="Times New Roman" w:eastAsia="Times New Roman" w:hAnsi="Times New Roman"/>
          <w:sz w:val="17"/>
          <w:szCs w:val="17"/>
          <w:color w:val="auto"/>
        </w:rPr>
        <w:t>Prior to the execution of the VICI Master Lease as described above, on January 1, 2019, the Company had entered into an individual triple net lease with VICI for the real estate assets used in the operations of Margaritaville Resort Casino (the “Margaritaville Lease”). The Margaritaville Lease had an initial term of 15 years, with four subsequent five-year renewal periods on the same terms and conditions, exercisable at the Company’s option. The payment structure under the Margaritaville Lease included a fixed component, a portion that was subject to an annual escalator of up to 2% depending on a minimum coverage floor ratio of Net Revenue to Rent of 6.1:1, and a component that was based on performance, which was prospectively adjusted every two years by an amount equal to 4% of the average change in net revenues of the property compared to a contractual baseline during the preceding two years.</w:t>
      </w:r>
    </w:p>
    <w:p>
      <w:pPr>
        <w:spacing w:after="0" w:line="133" w:lineRule="exact"/>
        <w:rPr>
          <w:sz w:val="20"/>
          <w:szCs w:val="20"/>
          <w:color w:val="auto"/>
        </w:rPr>
      </w:pPr>
    </w:p>
    <w:p>
      <w:pPr>
        <w:ind w:right="40" w:firstLine="319"/>
        <w:spacing w:after="0" w:line="275" w:lineRule="auto"/>
        <w:rPr>
          <w:sz w:val="20"/>
          <w:szCs w:val="20"/>
          <w:color w:val="auto"/>
        </w:rPr>
      </w:pPr>
      <w:r>
        <w:rPr>
          <w:rFonts w:ascii="Times New Roman" w:cs="Times New Roman" w:eastAsia="Times New Roman" w:hAnsi="Times New Roman"/>
          <w:sz w:val="18"/>
          <w:szCs w:val="18"/>
          <w:color w:val="auto"/>
        </w:rPr>
        <w:t>Prior to the effective date of the VICI Master Lease, the land and building components within the Margaritaville Lease were classified as operating leases and the related expenses were included in “General and administrative” within our unaudited Consolidated Statements of Operations.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187960</wp:posOffset>
            </wp:positionV>
            <wp:extent cx="716026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Greektown Lease</w:t>
      </w:r>
    </w:p>
    <w:p>
      <w:pPr>
        <w:spacing w:after="0" w:line="193" w:lineRule="exact"/>
        <w:rPr>
          <w:sz w:val="20"/>
          <w:szCs w:val="20"/>
          <w:color w:val="auto"/>
        </w:rPr>
      </w:pPr>
    </w:p>
    <w:p>
      <w:pPr>
        <w:ind w:right="100" w:firstLine="319"/>
        <w:spacing w:after="0" w:line="251" w:lineRule="auto"/>
        <w:rPr>
          <w:sz w:val="20"/>
          <w:szCs w:val="20"/>
          <w:color w:val="auto"/>
        </w:rPr>
      </w:pPr>
      <w:r>
        <w:rPr>
          <w:rFonts w:ascii="Times New Roman" w:cs="Times New Roman" w:eastAsia="Times New Roman" w:hAnsi="Times New Roman"/>
          <w:sz w:val="18"/>
          <w:szCs w:val="18"/>
          <w:color w:val="auto"/>
        </w:rPr>
        <w:t>Prior to the execution of the VICI Master Lease as described above, on May 23, 2019, the Company had entered into an individual triple net lease with VICI for the real estate assets used in the operations of Hollywood Casino at Greektown (the “Greektown Lease”). The Greektown Lease had an initial term of 15 years, with four subsequent five-year renewal periods on the same terms and conditions, exercisable at the Company’s option. The payment structure under the Greektown Lease included a fixed component, a portion subject to an annual escalator of up to 2% initially determined based on an Adjusted Revenue to Rent ratio, as defined in the Greektown Lease, and subsequently amended to be determined based on an agreed upon minimum coverage floor ratio of Net Revenue to Rent, and a component that was based on performance, which was prospectively adjusted every two years by an amount equal to 4% of the average change in net revenues of the property compared to a contractual baseline during the preceding two years.</w:t>
      </w:r>
    </w:p>
    <w:p>
      <w:pPr>
        <w:spacing w:after="0" w:line="145" w:lineRule="exact"/>
        <w:rPr>
          <w:sz w:val="20"/>
          <w:szCs w:val="20"/>
          <w:color w:val="auto"/>
        </w:rPr>
      </w:pPr>
    </w:p>
    <w:p>
      <w:pPr>
        <w:ind w:right="240" w:firstLine="319"/>
        <w:spacing w:after="0" w:line="275" w:lineRule="auto"/>
        <w:rPr>
          <w:sz w:val="20"/>
          <w:szCs w:val="20"/>
          <w:color w:val="auto"/>
        </w:rPr>
      </w:pPr>
      <w:r>
        <w:rPr>
          <w:rFonts w:ascii="Times New Roman" w:cs="Times New Roman" w:eastAsia="Times New Roman" w:hAnsi="Times New Roman"/>
          <w:sz w:val="18"/>
          <w:szCs w:val="18"/>
          <w:color w:val="auto"/>
        </w:rPr>
        <w:t>Prior to the effective date of the VICI Master Lease, the land and building components within the Greektown Lease were classified as operating leases and the related expenses were included in “General and administrative” within our unaudited Consolidated Statements of Operations.</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Morgantown Lease</w:t>
      </w:r>
    </w:p>
    <w:p>
      <w:pPr>
        <w:spacing w:after="0" w:line="193" w:lineRule="exact"/>
        <w:rPr>
          <w:sz w:val="20"/>
          <w:szCs w:val="20"/>
          <w:color w:val="auto"/>
        </w:rPr>
      </w:pPr>
    </w:p>
    <w:p>
      <w:pPr>
        <w:ind w:firstLine="319"/>
        <w:spacing w:after="0" w:line="275" w:lineRule="auto"/>
        <w:rPr>
          <w:sz w:val="20"/>
          <w:szCs w:val="20"/>
          <w:color w:val="auto"/>
        </w:rPr>
      </w:pPr>
      <w:r>
        <w:rPr>
          <w:rFonts w:ascii="Times New Roman" w:cs="Times New Roman" w:eastAsia="Times New Roman" w:hAnsi="Times New Roman"/>
          <w:sz w:val="18"/>
          <w:szCs w:val="18"/>
          <w:color w:val="auto"/>
        </w:rPr>
        <w:t>On October 1, 2020, the Company entered into an individual triple net lease with a subsidiary of GLPI for the land underlying our development project in Morgantown, Pennsylvania (“Morgantown Lease”) in exchange for $30.0 million in rent credits.</w:t>
      </w:r>
    </w:p>
    <w:p>
      <w:pPr>
        <w:spacing w:after="0" w:line="123" w:lineRule="exact"/>
        <w:rPr>
          <w:sz w:val="20"/>
          <w:szCs w:val="20"/>
          <w:color w:val="auto"/>
        </w:rPr>
      </w:pPr>
    </w:p>
    <w:p>
      <w:pPr>
        <w:ind w:right="40" w:firstLine="319"/>
        <w:spacing w:after="0" w:line="252" w:lineRule="auto"/>
        <w:rPr>
          <w:sz w:val="20"/>
          <w:szCs w:val="20"/>
          <w:color w:val="auto"/>
        </w:rPr>
      </w:pPr>
      <w:r>
        <w:rPr>
          <w:rFonts w:ascii="Times New Roman" w:cs="Times New Roman" w:eastAsia="Times New Roman" w:hAnsi="Times New Roman"/>
          <w:sz w:val="18"/>
          <w:szCs w:val="18"/>
          <w:color w:val="auto"/>
        </w:rPr>
        <w:t>The initial term of the Morgantown Lease is 20 years with six subsequent, five-year renewal periods, exercisable at the Company’s option. Initial annual rent under the Morgantown Lease is $3.0 million, subject to a 1.50% fixed annual escalation in each of the first three years subsequent to the facility opening, which occurred on December 22, 2021. Thereafter, the lease will be subject to an annual escalator consisting of either (i) 1.25%, if the consumer price index increase is greater than 0.50%, or (ii) zero, if the consumer price index increase is less than 0.50%. All improvements made on the land, including the constructed building, will be owned by the Company while the lease is in effect; however, on the expiration or termination of the Morgantown Lease, ownership of all tenant improvements on the land will transfer to GLPI.</w:t>
      </w:r>
    </w:p>
    <w:p>
      <w:pPr>
        <w:spacing w:after="0" w:line="144" w:lineRule="exact"/>
        <w:rPr>
          <w:sz w:val="20"/>
          <w:szCs w:val="20"/>
          <w:color w:val="auto"/>
        </w:rPr>
      </w:pPr>
    </w:p>
    <w:p>
      <w:pPr>
        <w:ind w:right="100" w:firstLine="319"/>
        <w:spacing w:after="0" w:line="255" w:lineRule="auto"/>
        <w:rPr>
          <w:sz w:val="20"/>
          <w:szCs w:val="20"/>
          <w:color w:val="auto"/>
        </w:rPr>
      </w:pPr>
      <w:r>
        <w:rPr>
          <w:rFonts w:ascii="Times New Roman" w:cs="Times New Roman" w:eastAsia="Times New Roman" w:hAnsi="Times New Roman"/>
          <w:sz w:val="18"/>
          <w:szCs w:val="18"/>
          <w:color w:val="auto"/>
        </w:rPr>
        <w:t>We concluded control of the land underlying the Morgantown facility was not passed from the Company to the lessor in accordance with ASC 842. As such we recognized a financing obligation in accordance with ASC Topic 470, “Debt” and continue to recognize the underlying land asset in “Property and equipment, net” within our unaudited Consolidated Balance Sheets. The Company recognizes interest expense on the lease payments related to the financing obligation under the effective yield method.</w:t>
      </w:r>
    </w:p>
    <w:p>
      <w:pPr>
        <w:spacing w:after="0" w:line="156" w:lineRule="exact"/>
        <w:rPr>
          <w:sz w:val="20"/>
          <w:szCs w:val="20"/>
          <w:color w:val="auto"/>
        </w:rPr>
      </w:pPr>
    </w:p>
    <w:p>
      <w:pPr>
        <w:ind w:right="40" w:firstLine="319"/>
        <w:spacing w:after="0" w:line="275" w:lineRule="auto"/>
        <w:rPr>
          <w:sz w:val="20"/>
          <w:szCs w:val="20"/>
          <w:color w:val="auto"/>
        </w:rPr>
      </w:pPr>
      <w:r>
        <w:rPr>
          <w:rFonts w:ascii="Times New Roman" w:cs="Times New Roman" w:eastAsia="Times New Roman" w:hAnsi="Times New Roman"/>
          <w:sz w:val="18"/>
          <w:szCs w:val="18"/>
          <w:color w:val="auto"/>
        </w:rPr>
        <w:t>We refer to the Master Leases, VICI Master Lease, Margaritaville Lease (prior to December 4, 2025), Greektown Lease (prior to December 4, 2025), and Morgantown Lease, collectively, as our “Triple Net Leases.”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Non-REIT Operating Leases</w:t>
      </w:r>
    </w:p>
    <w:p>
      <w:pPr>
        <w:spacing w:after="0" w:line="182" w:lineRule="exact"/>
        <w:rPr>
          <w:sz w:val="20"/>
          <w:szCs w:val="20"/>
          <w:color w:val="auto"/>
        </w:rPr>
      </w:pPr>
    </w:p>
    <w:p>
      <w:pPr>
        <w:ind w:firstLine="319"/>
        <w:spacing w:after="0" w:line="269" w:lineRule="auto"/>
        <w:rPr>
          <w:sz w:val="20"/>
          <w:szCs w:val="20"/>
          <w:color w:val="auto"/>
        </w:rPr>
      </w:pPr>
      <w:r>
        <w:rPr>
          <w:rFonts w:ascii="Times New Roman" w:cs="Times New Roman" w:eastAsia="Times New Roman" w:hAnsi="Times New Roman"/>
          <w:sz w:val="17"/>
          <w:szCs w:val="17"/>
          <w:color w:val="auto"/>
        </w:rPr>
        <w:t>In addition to any operating lease components contained within the Master Leases, VICI Master Lease, Margaritaville Lease (prior to December 4, 2025), and Greektown Lease (prior to December 4, 2025, and collectively referred to as “triple net operating leases”), the Company’s operating leases consist of (i) ground and levee leases to landlords which were not assumed by our REIT Landlords and remain an obligation of the Company; and (ii) buildings and equipment not associated with our REIT Landlords. Certain of our lease agreements include rental payments based on a percentage of sales over specified contractual amounts, rental payments adjusted periodically for inflation, and rental payments based on usage. The Company’s leases include options to extend the lease terms. The Company’s operating lease agreements do not contain any material residual value guarantees or material restrictive covenants.</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187960</wp:posOffset>
            </wp:positionV>
            <wp:extent cx="716026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is a maturity analysis of our operating leases, finance leases, and financing obligations as of September 30, 2026:</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4"/>
            <w:vMerge w:val="restart"/>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9"/>
              </w:rPr>
              <w:t>Finance Leases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Financing</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53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60" w:type="dxa"/>
            <w:vAlign w:val="bottom"/>
            <w:gridSpan w:val="4"/>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4"/>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ind w:right="231"/>
              <w:spacing w:after="0" w:line="166" w:lineRule="exact"/>
              <w:rPr>
                <w:sz w:val="20"/>
                <w:szCs w:val="20"/>
                <w:color w:val="auto"/>
              </w:rPr>
            </w:pPr>
            <w:r>
              <w:rPr>
                <w:rFonts w:ascii="Times New Roman" w:cs="Times New Roman" w:eastAsia="Times New Roman" w:hAnsi="Times New Roman"/>
                <w:sz w:val="18"/>
                <w:szCs w:val="18"/>
                <w:b w:val="1"/>
                <w:bCs w:val="1"/>
                <w:color w:val="auto"/>
              </w:rPr>
              <w:t>Obligations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5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2026 (excluding the nine months ended September 30, 2026)</w:t>
            </w:r>
          </w:p>
        </w:tc>
        <w:tc>
          <w:tcPr>
            <w:tcW w:w="240" w:type="dxa"/>
            <w:vAlign w:val="bottom"/>
          </w:tcPr>
          <w:p>
            <w:pPr>
              <w:spacing w:after="0"/>
              <w:rPr>
                <w:sz w:val="20"/>
                <w:szCs w:val="20"/>
                <w:color w:val="auto"/>
              </w:rPr>
            </w:pPr>
          </w:p>
        </w:tc>
        <w:tc>
          <w:tcPr>
            <w:tcW w:w="1140" w:type="dxa"/>
            <w:vAlign w:val="bottom"/>
            <w:gridSpan w:val="2"/>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3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Pr>
          <w:p>
            <w:pPr>
              <w:spacing w:after="0"/>
              <w:rPr>
                <w:sz w:val="20"/>
                <w:szCs w:val="20"/>
                <w:color w:val="auto"/>
              </w:rPr>
            </w:pPr>
          </w:p>
        </w:tc>
        <w:tc>
          <w:tcPr>
            <w:tcW w:w="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2027</w:t>
            </w:r>
          </w:p>
        </w:tc>
        <w:tc>
          <w:tcPr>
            <w:tcW w:w="46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675.6</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2028</w:t>
            </w:r>
          </w:p>
        </w:tc>
        <w:tc>
          <w:tcPr>
            <w:tcW w:w="4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2029</w:t>
            </w:r>
          </w:p>
        </w:tc>
        <w:tc>
          <w:tcPr>
            <w:tcW w:w="46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654.6</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2030</w:t>
            </w:r>
          </w:p>
        </w:tc>
        <w:tc>
          <w:tcPr>
            <w:tcW w:w="4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0" w:type="dxa"/>
            <w:vAlign w:val="bottom"/>
            <w:shd w:val="clear" w:color="auto" w:fill="CCEEFF"/>
          </w:tcPr>
          <w:p>
            <w:pPr>
              <w:spacing w:after="0"/>
              <w:rPr>
                <w:sz w:val="20"/>
                <w:szCs w:val="20"/>
                <w:color w:val="auto"/>
              </w:rPr>
            </w:pPr>
          </w:p>
        </w:tc>
        <w:tc>
          <w:tcPr>
            <w:tcW w:w="5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2,314.0</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2,980.2</w:t>
            </w:r>
          </w:p>
        </w:tc>
        <w:tc>
          <w:tcPr>
            <w:tcW w:w="100" w:type="dxa"/>
            <w:vAlign w:val="bottom"/>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3,496.5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5,145.3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3,628.0</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4,204.8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(1,347.1)</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(1,578.4)</w:t>
            </w:r>
          </w:p>
        </w:tc>
        <w:tc>
          <w:tcPr>
            <w:tcW w:w="100" w:type="dxa"/>
            <w:vAlign w:val="bottom"/>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Present value of future lease payments</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3,798.2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2,049.6</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of lease obligations</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(422.0)</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Long-term portion of lease obligations</w:t>
            </w:r>
          </w:p>
        </w:tc>
        <w:tc>
          <w:tcPr>
            <w:tcW w:w="240" w:type="dxa"/>
            <w:vAlign w:val="bottom"/>
          </w:tcPr>
          <w:p>
            <w:pPr>
              <w:spacing w:after="0"/>
              <w:rPr>
                <w:sz w:val="20"/>
                <w:szCs w:val="20"/>
                <w:color w:val="auto"/>
              </w:rPr>
            </w:pPr>
          </w:p>
        </w:tc>
        <w:tc>
          <w:tcPr>
            <w:tcW w:w="1140" w:type="dxa"/>
            <w:vAlign w:val="bottom"/>
            <w:gridSpan w:val="2"/>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3,376.2</w:t>
            </w:r>
          </w:p>
        </w:tc>
        <w:tc>
          <w:tcPr>
            <w:tcW w:w="3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1,994.0</w:t>
            </w:r>
          </w:p>
        </w:tc>
        <w:tc>
          <w:tcPr>
            <w:tcW w:w="100" w:type="dxa"/>
            <w:vAlign w:val="bottom"/>
          </w:tcPr>
          <w:p>
            <w:pPr>
              <w:spacing w:after="0"/>
              <w:rPr>
                <w:sz w:val="20"/>
                <w:szCs w:val="20"/>
                <w:color w:val="auto"/>
              </w:rPr>
            </w:pPr>
          </w:p>
        </w:tc>
        <w:tc>
          <w:tcPr>
            <w:tcW w:w="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color w:val="auto"/>
              </w:rPr>
              <w:t>Total payments made under our Triple Net Leases were as follows:</w:t>
            </w: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20" w:type="dxa"/>
            <w:vAlign w:val="bottom"/>
          </w:tcPr>
          <w:p>
            <w:pPr>
              <w:spacing w:after="0"/>
              <w:rPr>
                <w:sz w:val="24"/>
                <w:szCs w:val="24"/>
                <w:color w:val="auto"/>
              </w:rPr>
            </w:pPr>
          </w:p>
        </w:tc>
        <w:tc>
          <w:tcPr>
            <w:tcW w:w="532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0" w:type="dxa"/>
            <w:vAlign w:val="bottom"/>
            <w:gridSpan w:val="6"/>
          </w:tcPr>
          <w:p>
            <w:pPr>
              <w:jc w:val="center"/>
              <w:ind w:right="171"/>
              <w:spacing w:after="0"/>
              <w:rPr>
                <w:sz w:val="20"/>
                <w:szCs w:val="20"/>
                <w:color w:val="auto"/>
              </w:rPr>
            </w:pPr>
            <w:r>
              <w:rPr>
                <w:rFonts w:ascii="Times New Roman" w:cs="Times New Roman" w:eastAsia="Times New Roman" w:hAnsi="Times New Roman"/>
                <w:sz w:val="18"/>
                <w:szCs w:val="18"/>
                <w:b w:val="1"/>
                <w:bCs w:val="1"/>
                <w:color w:val="auto"/>
                <w:w w:val="98"/>
              </w:rPr>
              <w:t>For the nine months ended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5"/>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6"/>
          </w:tcPr>
          <w:p>
            <w:pPr>
              <w:jc w:val="center"/>
              <w:ind w:right="191"/>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53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40" w:type="dxa"/>
            <w:vAlign w:val="bottom"/>
          </w:tcPr>
          <w:p>
            <w:pPr>
              <w:spacing w:after="0"/>
              <w:rPr>
                <w:sz w:val="15"/>
                <w:szCs w:val="15"/>
                <w:color w:val="auto"/>
              </w:rPr>
            </w:pPr>
          </w:p>
        </w:tc>
        <w:tc>
          <w:tcPr>
            <w:tcW w:w="860" w:type="dxa"/>
            <w:vAlign w:val="bottom"/>
          </w:tcPr>
          <w:p>
            <w:pPr>
              <w:jc w:val="right"/>
              <w:ind w:right="151"/>
              <w:spacing w:after="0" w:line="166" w:lineRule="exact"/>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jc w:val="right"/>
              <w:ind w:right="111"/>
              <w:spacing w:after="0" w:line="166" w:lineRule="exact"/>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291"/>
              <w:spacing w:after="0" w:line="166" w:lineRule="exact"/>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right"/>
              <w:ind w:right="411"/>
              <w:spacing w:after="0" w:line="166" w:lineRule="exact"/>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5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 PENN Master Lease</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72.0</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219.3</w:t>
            </w:r>
          </w:p>
        </w:tc>
        <w:tc>
          <w:tcPr>
            <w:tcW w:w="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2023 Master Lease</w:t>
            </w:r>
          </w:p>
        </w:tc>
        <w:tc>
          <w:tcPr>
            <w:tcW w:w="24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203.2</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Pinnacle Master Lease</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87.4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260.9</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340" w:type="dxa"/>
            <w:vAlign w:val="bottom"/>
            <w:gridSpan w:val="3"/>
          </w:tcPr>
          <w:p>
            <w:pPr>
              <w:ind w:left="20"/>
              <w:spacing w:after="0" w:line="239" w:lineRule="exact"/>
              <w:rPr>
                <w:sz w:val="20"/>
                <w:szCs w:val="20"/>
                <w:color w:val="auto"/>
              </w:rPr>
            </w:pPr>
            <w:r>
              <w:rPr>
                <w:rFonts w:ascii="Times New Roman" w:cs="Times New Roman" w:eastAsia="Times New Roman" w:hAnsi="Times New Roman"/>
                <w:sz w:val="18"/>
                <w:szCs w:val="18"/>
                <w:color w:val="auto"/>
              </w:rPr>
              <w:t xml:space="preserve">VICI Master Lease </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60.8</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340" w:type="dxa"/>
            <w:vAlign w:val="bottom"/>
            <w:gridSpan w:val="3"/>
            <w:shd w:val="clear" w:color="auto" w:fill="CCEEFF"/>
          </w:tcPr>
          <w:p>
            <w:pPr>
              <w:ind w:left="20"/>
              <w:spacing w:after="0" w:line="239" w:lineRule="exact"/>
              <w:rPr>
                <w:sz w:val="20"/>
                <w:szCs w:val="20"/>
                <w:color w:val="auto"/>
              </w:rPr>
            </w:pPr>
            <w:r>
              <w:rPr>
                <w:rFonts w:ascii="Times New Roman" w:cs="Times New Roman" w:eastAsia="Times New Roman" w:hAnsi="Times New Roman"/>
                <w:sz w:val="18"/>
                <w:szCs w:val="18"/>
                <w:color w:val="auto"/>
              </w:rPr>
              <w:t xml:space="preserve">Margaritaville Lease </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7"/>
              </w:rPr>
              <w:t>6.7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340" w:type="dxa"/>
            <w:vAlign w:val="bottom"/>
            <w:gridSpan w:val="3"/>
          </w:tcPr>
          <w:p>
            <w:pPr>
              <w:ind w:left="20"/>
              <w:spacing w:after="0" w:line="239" w:lineRule="exact"/>
              <w:rPr>
                <w:sz w:val="20"/>
                <w:szCs w:val="20"/>
                <w:color w:val="auto"/>
              </w:rPr>
            </w:pPr>
            <w:r>
              <w:rPr>
                <w:rFonts w:ascii="Times New Roman" w:cs="Times New Roman" w:eastAsia="Times New Roman" w:hAnsi="Times New Roman"/>
                <w:sz w:val="18"/>
                <w:szCs w:val="18"/>
                <w:color w:val="auto"/>
              </w:rPr>
              <w:t xml:space="preserve">Greektown Lease </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1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Morgantown Lease</w:t>
            </w:r>
          </w:p>
        </w:tc>
        <w:tc>
          <w:tcPr>
            <w:tcW w:w="2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7"/>
              </w:rPr>
              <w:t>0.8</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100" w:type="dxa"/>
            <w:vAlign w:val="bottom"/>
          </w:tcPr>
          <w:p>
            <w:pPr>
              <w:spacing w:after="0"/>
              <w:rPr>
                <w:sz w:val="20"/>
                <w:szCs w:val="20"/>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241.9</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746.6</w:t>
            </w:r>
          </w:p>
        </w:tc>
        <w:tc>
          <w:tcPr>
            <w:tcW w:w="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ind w:left="640" w:right="240" w:hanging="315"/>
        <w:spacing w:after="0" w:line="272" w:lineRule="auto"/>
        <w:tabs>
          <w:tab w:leader="none" w:pos="63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December 4, 2025, lease payments made to VICI related to the Margaritaville and Greektown individual triple net leases; effective December 4, 2025, lease payments made to VICI relate to the VICI Master Lease.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Information related to lease term and discount rate was as follows:</w:t>
            </w:r>
          </w:p>
        </w:tc>
        <w:tc>
          <w:tcPr>
            <w:tcW w:w="17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437"/>
        </w:trPr>
        <w:tc>
          <w:tcPr>
            <w:tcW w:w="5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18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2080" w:type="dxa"/>
            <w:vAlign w:val="bottom"/>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19"/>
        </w:trPr>
        <w:tc>
          <w:tcPr>
            <w:tcW w:w="5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w:t>
            </w:r>
          </w:p>
        </w:tc>
        <w:tc>
          <w:tcPr>
            <w:tcW w:w="1700" w:type="dxa"/>
            <w:vAlign w:val="bottom"/>
            <w:tcBorders>
              <w:top w:val="single" w:sz="8" w:color="CCEEFF"/>
            </w:tcBorders>
            <w:shd w:val="clear" w:color="auto" w:fill="CCEEFF"/>
          </w:tcPr>
          <w:p>
            <w:pPr>
              <w:spacing w:after="0"/>
              <w:rPr>
                <w:sz w:val="19"/>
                <w:szCs w:val="19"/>
                <w:color w:val="auto"/>
              </w:rPr>
            </w:pPr>
          </w:p>
        </w:tc>
        <w:tc>
          <w:tcPr>
            <w:tcW w:w="2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80" w:type="dxa"/>
            <w:vAlign w:val="bottom"/>
            <w:tcBorders>
              <w:top w:val="single" w:sz="8" w:color="auto"/>
            </w:tcBorders>
            <w:shd w:val="clear" w:color="auto" w:fill="CCEEFF"/>
          </w:tcPr>
          <w:p>
            <w:pPr>
              <w:spacing w:after="0"/>
              <w:rPr>
                <w:sz w:val="19"/>
                <w:szCs w:val="19"/>
                <w:color w:val="auto"/>
              </w:rPr>
            </w:pPr>
          </w:p>
        </w:tc>
      </w:tr>
      <w:tr>
        <w:trPr>
          <w:trHeight w:val="239"/>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1700" w:type="dxa"/>
            <w:vAlign w:val="bottom"/>
          </w:tcPr>
          <w:p>
            <w:pPr>
              <w:spacing w:after="0"/>
              <w:rPr>
                <w:sz w:val="20"/>
                <w:szCs w:val="20"/>
                <w:color w:val="auto"/>
              </w:rPr>
            </w:pPr>
          </w:p>
        </w:tc>
        <w:tc>
          <w:tcPr>
            <w:tcW w:w="2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 years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 years</w:t>
            </w:r>
          </w:p>
        </w:tc>
      </w:tr>
      <w:tr>
        <w:trPr>
          <w:trHeight w:val="239"/>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Finance leases</w:t>
            </w:r>
          </w:p>
        </w:tc>
        <w:tc>
          <w:tcPr>
            <w:tcW w:w="1700" w:type="dxa"/>
            <w:vAlign w:val="bottom"/>
            <w:shd w:val="clear" w:color="auto" w:fill="CCEEFF"/>
          </w:tcPr>
          <w:p>
            <w:pPr>
              <w:spacing w:after="0"/>
              <w:rPr>
                <w:sz w:val="20"/>
                <w:szCs w:val="20"/>
                <w:color w:val="auto"/>
              </w:rPr>
            </w:pPr>
          </w:p>
        </w:tc>
        <w:tc>
          <w:tcPr>
            <w:tcW w:w="2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24.5 years</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 years</w:t>
            </w:r>
          </w:p>
        </w:tc>
      </w:tr>
      <w:tr>
        <w:trPr>
          <w:trHeight w:val="239"/>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Financing obligations</w:t>
            </w:r>
          </w:p>
        </w:tc>
        <w:tc>
          <w:tcPr>
            <w:tcW w:w="1700" w:type="dxa"/>
            <w:vAlign w:val="bottom"/>
          </w:tcPr>
          <w:p>
            <w:pPr>
              <w:spacing w:after="0"/>
              <w:rPr>
                <w:sz w:val="20"/>
                <w:szCs w:val="20"/>
                <w:color w:val="auto"/>
              </w:rPr>
            </w:pPr>
          </w:p>
        </w:tc>
        <w:tc>
          <w:tcPr>
            <w:tcW w:w="2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24.9 years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 years</w:t>
            </w:r>
          </w:p>
        </w:tc>
      </w:tr>
      <w:tr>
        <w:trPr>
          <w:trHeight w:val="266"/>
        </w:trPr>
        <w:tc>
          <w:tcPr>
            <w:tcW w:w="528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2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80" w:type="dxa"/>
            <w:vAlign w:val="bottom"/>
            <w:shd w:val="clear" w:color="auto" w:fill="CCEEFF"/>
          </w:tcPr>
          <w:p>
            <w:pPr>
              <w:spacing w:after="0"/>
              <w:rPr>
                <w:sz w:val="23"/>
                <w:szCs w:val="23"/>
                <w:color w:val="auto"/>
              </w:rPr>
            </w:pPr>
          </w:p>
        </w:tc>
      </w:tr>
      <w:tr>
        <w:trPr>
          <w:trHeight w:val="23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17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239"/>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3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100" w:type="dxa"/>
            <w:vAlign w:val="bottom"/>
            <w:shd w:val="clear" w:color="auto" w:fill="CCEEFF"/>
          </w:tcPr>
          <w:p>
            <w:pPr>
              <w:spacing w:after="0"/>
              <w:rPr>
                <w:sz w:val="20"/>
                <w:szCs w:val="20"/>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r>
      <w:tr>
        <w:trPr>
          <w:trHeight w:val="239"/>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Finance leases</w:t>
            </w:r>
          </w:p>
        </w:tc>
        <w:tc>
          <w:tcPr>
            <w:tcW w:w="3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0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39"/>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Financing obligations</w:t>
            </w:r>
          </w:p>
        </w:tc>
        <w:tc>
          <w:tcPr>
            <w:tcW w:w="3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00" w:type="dxa"/>
            <w:vAlign w:val="bottom"/>
            <w:shd w:val="clear" w:color="auto" w:fill="CCEEFF"/>
          </w:tcPr>
          <w:p>
            <w:pPr>
              <w:spacing w:after="0"/>
              <w:rPr>
                <w:sz w:val="20"/>
                <w:szCs w:val="20"/>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851"/>
        </w:trPr>
        <w:tc>
          <w:tcPr>
            <w:tcW w:w="5280" w:type="dxa"/>
            <w:vAlign w:val="bottom"/>
          </w:tcPr>
          <w:p>
            <w:pPr>
              <w:spacing w:after="0"/>
              <w:rPr>
                <w:sz w:val="24"/>
                <w:szCs w:val="24"/>
                <w:color w:val="auto"/>
              </w:rPr>
            </w:pPr>
          </w:p>
        </w:tc>
        <w:tc>
          <w:tcPr>
            <w:tcW w:w="1700" w:type="dxa"/>
            <w:vAlign w:val="bottom"/>
          </w:tcPr>
          <w:p>
            <w:pPr>
              <w:jc w:val="right"/>
              <w:ind w:right="1171"/>
              <w:spacing w:after="0"/>
              <w:rPr>
                <w:sz w:val="20"/>
                <w:szCs w:val="20"/>
                <w:color w:val="auto"/>
              </w:rPr>
            </w:pPr>
            <w:r>
              <w:rPr>
                <w:rFonts w:ascii="Times New Roman" w:cs="Times New Roman" w:eastAsia="Times New Roman" w:hAnsi="Times New Roman"/>
                <w:sz w:val="18"/>
                <w:szCs w:val="18"/>
                <w:color w:val="auto"/>
              </w:rPr>
              <w:t>22</w:t>
            </w: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85"/>
        </w:trPr>
        <w:tc>
          <w:tcPr>
            <w:tcW w:w="528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4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Location on unaudited</w:t>
            </w:r>
          </w:p>
        </w:tc>
        <w:tc>
          <w:tcPr>
            <w:tcW w:w="160" w:type="dxa"/>
            <w:vAlign w:val="bottom"/>
          </w:tcPr>
          <w:p>
            <w:pPr>
              <w:spacing w:after="0"/>
              <w:rPr>
                <w:sz w:val="17"/>
                <w:szCs w:val="17"/>
                <w:color w:val="auto"/>
              </w:rPr>
            </w:pPr>
          </w:p>
        </w:tc>
        <w:tc>
          <w:tcPr>
            <w:tcW w:w="248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For the three months ended</w:t>
            </w:r>
          </w:p>
        </w:tc>
        <w:tc>
          <w:tcPr>
            <w:tcW w:w="180" w:type="dxa"/>
            <w:vAlign w:val="bottom"/>
          </w:tcPr>
          <w:p>
            <w:pPr>
              <w:spacing w:after="0"/>
              <w:rPr>
                <w:sz w:val="17"/>
                <w:szCs w:val="17"/>
                <w:color w:val="auto"/>
              </w:rPr>
            </w:pPr>
          </w:p>
        </w:tc>
        <w:tc>
          <w:tcPr>
            <w:tcW w:w="2360" w:type="dxa"/>
            <w:vAlign w:val="bottom"/>
            <w:gridSpan w:val="4"/>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60" w:type="dxa"/>
            <w:vAlign w:val="bottom"/>
          </w:tcPr>
          <w:p>
            <w:pPr>
              <w:spacing w:after="0"/>
              <w:rPr>
                <w:sz w:val="6"/>
                <w:szCs w:val="6"/>
                <w:color w:val="auto"/>
              </w:rPr>
            </w:pPr>
          </w:p>
        </w:tc>
        <w:tc>
          <w:tcPr>
            <w:tcW w:w="24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2480" w:type="dxa"/>
            <w:vAlign w:val="bottom"/>
            <w:gridSpan w:val="5"/>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80" w:type="dxa"/>
            <w:vAlign w:val="bottom"/>
          </w:tcPr>
          <w:p>
            <w:pPr>
              <w:spacing w:after="0"/>
              <w:rPr>
                <w:sz w:val="6"/>
                <w:szCs w:val="6"/>
                <w:color w:val="auto"/>
              </w:rPr>
            </w:pPr>
          </w:p>
        </w:tc>
        <w:tc>
          <w:tcPr>
            <w:tcW w:w="2360" w:type="dxa"/>
            <w:vAlign w:val="bottom"/>
            <w:gridSpan w:val="4"/>
            <w:vMerge w:val="restart"/>
          </w:tcPr>
          <w:p>
            <w:pPr>
              <w:jc w:val="right"/>
              <w:ind w:right="65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2460" w:type="dxa"/>
            <w:vAlign w:val="bottom"/>
            <w:gridSpan w:val="2"/>
          </w:tcPr>
          <w:p>
            <w:pPr>
              <w:jc w:val="center"/>
              <w:ind w:right="100"/>
              <w:spacing w:after="0" w:line="153" w:lineRule="exact"/>
              <w:rPr>
                <w:sz w:val="20"/>
                <w:szCs w:val="20"/>
                <w:color w:val="auto"/>
              </w:rPr>
            </w:pPr>
            <w:r>
              <w:rPr>
                <w:rFonts w:ascii="Times New Roman" w:cs="Times New Roman" w:eastAsia="Times New Roman" w:hAnsi="Times New Roman"/>
                <w:sz w:val="17"/>
                <w:szCs w:val="17"/>
                <w:b w:val="1"/>
                <w:bCs w:val="1"/>
                <w:color w:val="auto"/>
              </w:rPr>
              <w:t>Consolidated Statements of</w:t>
            </w:r>
          </w:p>
        </w:tc>
        <w:tc>
          <w:tcPr>
            <w:tcW w:w="160" w:type="dxa"/>
            <w:vAlign w:val="bottom"/>
          </w:tcPr>
          <w:p>
            <w:pPr>
              <w:spacing w:after="0"/>
              <w:rPr>
                <w:sz w:val="13"/>
                <w:szCs w:val="13"/>
                <w:color w:val="auto"/>
              </w:rPr>
            </w:pPr>
          </w:p>
        </w:tc>
        <w:tc>
          <w:tcPr>
            <w:tcW w:w="2480" w:type="dxa"/>
            <w:vAlign w:val="bottom"/>
            <w:gridSpan w:val="5"/>
            <w:vMerge w:val="continue"/>
          </w:tcPr>
          <w:p>
            <w:pPr>
              <w:spacing w:after="0"/>
              <w:rPr>
                <w:sz w:val="13"/>
                <w:szCs w:val="13"/>
                <w:color w:val="auto"/>
              </w:rPr>
            </w:pPr>
          </w:p>
        </w:tc>
        <w:tc>
          <w:tcPr>
            <w:tcW w:w="180" w:type="dxa"/>
            <w:vAlign w:val="bottom"/>
          </w:tcPr>
          <w:p>
            <w:pPr>
              <w:spacing w:after="0"/>
              <w:rPr>
                <w:sz w:val="13"/>
                <w:szCs w:val="13"/>
                <w:color w:val="auto"/>
              </w:rPr>
            </w:pPr>
          </w:p>
        </w:tc>
        <w:tc>
          <w:tcPr>
            <w:tcW w:w="236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36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460" w:type="dxa"/>
            <w:vAlign w:val="bottom"/>
            <w:gridSpan w:val="2"/>
          </w:tcPr>
          <w:p>
            <w:pPr>
              <w:jc w:val="center"/>
              <w:ind w:right="100"/>
              <w:spacing w:after="0" w:line="166" w:lineRule="exact"/>
              <w:rPr>
                <w:sz w:val="20"/>
                <w:szCs w:val="20"/>
                <w:color w:val="auto"/>
              </w:rPr>
            </w:pPr>
            <w:r>
              <w:rPr>
                <w:rFonts w:ascii="Times New Roman" w:cs="Times New Roman" w:eastAsia="Times New Roman" w:hAnsi="Times New Roman"/>
                <w:sz w:val="18"/>
                <w:szCs w:val="18"/>
                <w:b w:val="1"/>
                <w:bCs w:val="1"/>
                <w:color w:val="auto"/>
                <w:w w:val="97"/>
              </w:rPr>
              <w:t>Operations</w:t>
            </w:r>
          </w:p>
        </w:tc>
        <w:tc>
          <w:tcPr>
            <w:tcW w:w="1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331"/>
              <w:spacing w:after="0" w:line="166" w:lineRule="exact"/>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351"/>
              <w:spacing w:after="0" w:line="166" w:lineRule="exact"/>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351"/>
              <w:spacing w:after="0" w:line="166" w:lineRule="exact"/>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351"/>
              <w:spacing w:after="0" w:line="166" w:lineRule="exact"/>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3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 Costs</w:t>
            </w:r>
          </w:p>
        </w:tc>
        <w:tc>
          <w:tcPr>
            <w:tcW w:w="2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580" w:type="dxa"/>
            <w:vAlign w:val="bottom"/>
            <w:gridSpan w:val="2"/>
          </w:tcPr>
          <w:p>
            <w:pPr>
              <w:ind w:left="200"/>
              <w:spacing w:after="0" w:line="186" w:lineRule="exact"/>
              <w:rPr>
                <w:sz w:val="20"/>
                <w:szCs w:val="20"/>
                <w:color w:val="auto"/>
              </w:rPr>
            </w:pPr>
            <w:r>
              <w:rPr>
                <w:rFonts w:ascii="Times New Roman" w:cs="Times New Roman" w:eastAsia="Times New Roman" w:hAnsi="Times New Roman"/>
                <w:sz w:val="18"/>
                <w:szCs w:val="18"/>
                <w:color w:val="auto"/>
              </w:rPr>
              <w:t>Rent expense associated with triple net</w:t>
            </w:r>
          </w:p>
        </w:tc>
        <w:tc>
          <w:tcPr>
            <w:tcW w:w="2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580" w:type="dxa"/>
            <w:vAlign w:val="bottom"/>
            <w:gridSpan w:val="2"/>
          </w:tcPr>
          <w:p>
            <w:pPr>
              <w:ind w:left="200"/>
              <w:spacing w:after="0" w:line="239" w:lineRule="exact"/>
              <w:rPr>
                <w:sz w:val="20"/>
                <w:szCs w:val="20"/>
                <w:color w:val="auto"/>
              </w:rPr>
            </w:pPr>
            <w:r>
              <w:rPr>
                <w:rFonts w:ascii="Times New Roman" w:cs="Times New Roman" w:eastAsia="Times New Roman" w:hAnsi="Times New Roman"/>
                <w:sz w:val="18"/>
                <w:szCs w:val="18"/>
                <w:color w:val="auto"/>
              </w:rPr>
              <w:t xml:space="preserve">operating leases </w:t>
            </w:r>
            <w:r>
              <w:rPr>
                <w:rFonts w:ascii="Times New Roman" w:cs="Times New Roman" w:eastAsia="Times New Roman" w:hAnsi="Times New Roman"/>
                <w:sz w:val="23"/>
                <w:szCs w:val="23"/>
                <w:color w:val="auto"/>
                <w:vertAlign w:val="superscript"/>
              </w:rPr>
              <w:t>(1)</w:t>
            </w:r>
          </w:p>
        </w:tc>
        <w:tc>
          <w:tcPr>
            <w:tcW w:w="2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General and administrative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100" w:type="dxa"/>
            <w:vAlign w:val="bottom"/>
          </w:tcPr>
          <w:p>
            <w:pPr>
              <w:spacing w:after="0"/>
              <w:rPr>
                <w:sz w:val="20"/>
                <w:szCs w:val="20"/>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494.4</w:t>
            </w:r>
          </w:p>
        </w:tc>
        <w:tc>
          <w:tcPr>
            <w:tcW w:w="80" w:type="dxa"/>
            <w:vAlign w:val="bottom"/>
          </w:tcPr>
          <w:p>
            <w:pPr>
              <w:spacing w:after="0"/>
              <w:rPr>
                <w:sz w:val="20"/>
                <w:szCs w:val="20"/>
                <w:color w:val="auto"/>
              </w:rPr>
            </w:pP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358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xml:space="preserve">Operating lease cost </w:t>
            </w:r>
            <w:r>
              <w:rPr>
                <w:rFonts w:ascii="Times New Roman" w:cs="Times New Roman" w:eastAsia="Times New Roman" w:hAnsi="Times New Roman"/>
                <w:sz w:val="23"/>
                <w:szCs w:val="23"/>
                <w:color w:val="auto"/>
                <w:vertAlign w:val="superscript"/>
              </w:rPr>
              <w:t>(2)</w:t>
            </w:r>
          </w:p>
        </w:tc>
        <w:tc>
          <w:tcPr>
            <w:tcW w:w="2460" w:type="dxa"/>
            <w:vAlign w:val="bottom"/>
            <w:gridSpan w:val="2"/>
            <w:shd w:val="clear" w:color="auto" w:fill="CCEEFF"/>
          </w:tcPr>
          <w:p>
            <w:pPr>
              <w:jc w:val="center"/>
              <w:ind w:right="100"/>
              <w:spacing w:after="0" w:line="186" w:lineRule="exact"/>
              <w:rPr>
                <w:sz w:val="20"/>
                <w:szCs w:val="20"/>
                <w:color w:val="auto"/>
              </w:rPr>
            </w:pPr>
            <w:r>
              <w:rPr>
                <w:rFonts w:ascii="Times New Roman" w:cs="Times New Roman" w:eastAsia="Times New Roman" w:hAnsi="Times New Roman"/>
                <w:sz w:val="18"/>
                <w:szCs w:val="18"/>
                <w:color w:val="auto"/>
                <w:w w:val="97"/>
              </w:rPr>
              <w:t>Primarily General and</w:t>
            </w: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0" w:type="dxa"/>
            <w:vAlign w:val="bottom"/>
            <w:shd w:val="clear" w:color="auto" w:fill="CCEEFF"/>
          </w:tcPr>
          <w:p>
            <w:pPr>
              <w:spacing w:after="0"/>
              <w:rPr>
                <w:sz w:val="20"/>
                <w:szCs w:val="20"/>
                <w:color w:val="auto"/>
              </w:rPr>
            </w:pPr>
          </w:p>
        </w:tc>
        <w:tc>
          <w:tcPr>
            <w:tcW w:w="3580" w:type="dxa"/>
            <w:vAlign w:val="bottom"/>
            <w:gridSpan w:val="2"/>
            <w:vMerge w:val="continue"/>
            <w:shd w:val="clear" w:color="auto" w:fill="CCEEFF"/>
          </w:tcPr>
          <w:p>
            <w:pPr>
              <w:spacing w:after="0"/>
              <w:rPr>
                <w:sz w:val="20"/>
                <w:szCs w:val="20"/>
                <w:color w:val="auto"/>
              </w:rPr>
            </w:pPr>
          </w:p>
        </w:tc>
        <w:tc>
          <w:tcPr>
            <w:tcW w:w="24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administrative</w:t>
            </w: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Short-term lease cost</w:t>
            </w:r>
          </w:p>
        </w:tc>
        <w:tc>
          <w:tcPr>
            <w:tcW w:w="2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Primarily Gaming expenses</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0" w:type="dxa"/>
            <w:vAlign w:val="bottom"/>
          </w:tcPr>
          <w:p>
            <w:pPr>
              <w:spacing w:after="0"/>
              <w:rPr>
                <w:sz w:val="1"/>
                <w:szCs w:val="1"/>
                <w:color w:val="auto"/>
              </w:rPr>
            </w:pPr>
          </w:p>
        </w:tc>
      </w:tr>
      <w:tr>
        <w:trPr>
          <w:trHeight w:val="239"/>
        </w:trPr>
        <w:tc>
          <w:tcPr>
            <w:tcW w:w="20" w:type="dxa"/>
            <w:vAlign w:val="bottom"/>
            <w:shd w:val="clear" w:color="auto" w:fill="CCEEFF"/>
          </w:tcPr>
          <w:p>
            <w:pPr>
              <w:spacing w:after="0"/>
              <w:rPr>
                <w:sz w:val="20"/>
                <w:szCs w:val="20"/>
                <w:color w:val="auto"/>
              </w:rPr>
            </w:pPr>
          </w:p>
        </w:tc>
        <w:tc>
          <w:tcPr>
            <w:tcW w:w="3580" w:type="dxa"/>
            <w:vAlign w:val="bottom"/>
            <w:gridSpan w:val="2"/>
            <w:shd w:val="clear" w:color="auto" w:fill="CCEEFF"/>
          </w:tcPr>
          <w:p>
            <w:pPr>
              <w:ind w:left="200"/>
              <w:spacing w:after="0" w:line="239" w:lineRule="exact"/>
              <w:rPr>
                <w:sz w:val="20"/>
                <w:szCs w:val="20"/>
                <w:color w:val="auto"/>
              </w:rPr>
            </w:pPr>
            <w:r>
              <w:rPr>
                <w:rFonts w:ascii="Times New Roman" w:cs="Times New Roman" w:eastAsia="Times New Roman" w:hAnsi="Times New Roman"/>
                <w:sz w:val="18"/>
                <w:szCs w:val="18"/>
                <w:color w:val="auto"/>
              </w:rPr>
              <w:t xml:space="preserve">Variable lease cost </w:t>
            </w:r>
            <w:r>
              <w:rPr>
                <w:rFonts w:ascii="Times New Roman" w:cs="Times New Roman" w:eastAsia="Times New Roman" w:hAnsi="Times New Roman"/>
                <w:sz w:val="23"/>
                <w:szCs w:val="23"/>
                <w:color w:val="auto"/>
                <w:vertAlign w:val="superscript"/>
              </w:rPr>
              <w:t>(2)</w:t>
            </w:r>
          </w:p>
        </w:tc>
        <w:tc>
          <w:tcPr>
            <w:tcW w:w="24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Primarily Gaming expenses</w:t>
            </w:r>
          </w:p>
        </w:tc>
        <w:tc>
          <w:tcPr>
            <w:tcW w:w="1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58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586.3</w:t>
            </w:r>
          </w:p>
        </w:tc>
        <w:tc>
          <w:tcPr>
            <w:tcW w:w="80" w:type="dxa"/>
            <w:vAlign w:val="bottom"/>
          </w:tcPr>
          <w:p>
            <w:pPr>
              <w:spacing w:after="0"/>
              <w:rPr>
                <w:sz w:val="20"/>
                <w:szCs w:val="20"/>
                <w:color w:val="auto"/>
              </w:rPr>
            </w:pPr>
          </w:p>
        </w:tc>
        <w:tc>
          <w:tcPr>
            <w:tcW w:w="2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860" w:type="dxa"/>
            <w:vAlign w:val="bottom"/>
            <w:shd w:val="clear" w:color="auto" w:fill="CCEEFF"/>
          </w:tcPr>
          <w:p>
            <w:pPr>
              <w:spacing w:after="0"/>
              <w:rPr>
                <w:sz w:val="20"/>
                <w:szCs w:val="20"/>
                <w:color w:val="auto"/>
              </w:rPr>
            </w:pPr>
          </w:p>
        </w:tc>
        <w:tc>
          <w:tcPr>
            <w:tcW w:w="2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6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 Costs</w:t>
            </w:r>
          </w:p>
        </w:tc>
        <w:tc>
          <w:tcPr>
            <w:tcW w:w="2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0" w:type="dxa"/>
            <w:vAlign w:val="bottom"/>
            <w:shd w:val="clear" w:color="auto" w:fill="CCEEFF"/>
          </w:tcPr>
          <w:p>
            <w:pPr>
              <w:spacing w:after="0"/>
              <w:rPr>
                <w:sz w:val="20"/>
                <w:szCs w:val="20"/>
                <w:color w:val="auto"/>
              </w:rPr>
            </w:pPr>
          </w:p>
        </w:tc>
        <w:tc>
          <w:tcPr>
            <w:tcW w:w="3580" w:type="dxa"/>
            <w:vAlign w:val="bottom"/>
            <w:gridSpan w:val="2"/>
            <w:shd w:val="clear" w:color="auto" w:fill="CCEEFF"/>
          </w:tcPr>
          <w:p>
            <w:pPr>
              <w:ind w:left="200"/>
              <w:spacing w:after="0" w:line="239" w:lineRule="exact"/>
              <w:rPr>
                <w:sz w:val="20"/>
                <w:szCs w:val="20"/>
                <w:color w:val="auto"/>
              </w:rPr>
            </w:pPr>
            <w:r>
              <w:rPr>
                <w:rFonts w:ascii="Times New Roman" w:cs="Times New Roman" w:eastAsia="Times New Roman" w:hAnsi="Times New Roman"/>
                <w:sz w:val="18"/>
                <w:szCs w:val="18"/>
                <w:color w:val="auto"/>
              </w:rPr>
              <w:t xml:space="preserve">Interest on lease liabilities </w:t>
            </w:r>
            <w:r>
              <w:rPr>
                <w:rFonts w:ascii="Times New Roman" w:cs="Times New Roman" w:eastAsia="Times New Roman" w:hAnsi="Times New Roman"/>
                <w:sz w:val="23"/>
                <w:szCs w:val="23"/>
                <w:color w:val="auto"/>
                <w:vertAlign w:val="superscript"/>
              </w:rPr>
              <w:t>(3)</w:t>
            </w:r>
          </w:p>
        </w:tc>
        <w:tc>
          <w:tcPr>
            <w:tcW w:w="24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Interest expense,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0" w:type="dxa"/>
            <w:vAlign w:val="bottom"/>
          </w:tcPr>
          <w:p>
            <w:pPr>
              <w:spacing w:after="0"/>
              <w:rPr>
                <w:sz w:val="1"/>
                <w:szCs w:val="1"/>
                <w:color w:val="auto"/>
              </w:rPr>
            </w:pPr>
          </w:p>
        </w:tc>
      </w:tr>
      <w:tr>
        <w:trPr>
          <w:trHeight w:val="239"/>
        </w:trPr>
        <w:tc>
          <w:tcPr>
            <w:tcW w:w="20" w:type="dxa"/>
            <w:vAlign w:val="bottom"/>
            <w:tcBorders>
              <w:bottom w:val="single" w:sz="8" w:color="CCEEFF"/>
            </w:tcBorders>
          </w:tcPr>
          <w:p>
            <w:pPr>
              <w:spacing w:after="0"/>
              <w:rPr>
                <w:sz w:val="20"/>
                <w:szCs w:val="20"/>
                <w:color w:val="auto"/>
              </w:rPr>
            </w:pPr>
          </w:p>
        </w:tc>
        <w:tc>
          <w:tcPr>
            <w:tcW w:w="3580" w:type="dxa"/>
            <w:vAlign w:val="bottom"/>
            <w:tcBorders>
              <w:bottom w:val="single" w:sz="8" w:color="CCEEFF"/>
            </w:tcBorders>
            <w:gridSpan w:val="2"/>
          </w:tcPr>
          <w:p>
            <w:pPr>
              <w:ind w:left="200"/>
              <w:spacing w:after="0" w:line="239" w:lineRule="exact"/>
              <w:rPr>
                <w:sz w:val="20"/>
                <w:szCs w:val="20"/>
                <w:color w:val="auto"/>
              </w:rPr>
            </w:pPr>
            <w:r>
              <w:rPr>
                <w:rFonts w:ascii="Times New Roman" w:cs="Times New Roman" w:eastAsia="Times New Roman" w:hAnsi="Times New Roman"/>
                <w:sz w:val="18"/>
                <w:szCs w:val="18"/>
                <w:color w:val="auto"/>
              </w:rPr>
              <w:t xml:space="preserve">Amortization of ROU assets </w:t>
            </w:r>
            <w:r>
              <w:rPr>
                <w:rFonts w:ascii="Times New Roman" w:cs="Times New Roman" w:eastAsia="Times New Roman" w:hAnsi="Times New Roman"/>
                <w:sz w:val="23"/>
                <w:szCs w:val="23"/>
                <w:color w:val="auto"/>
                <w:vertAlign w:val="superscript"/>
              </w:rPr>
              <w:t>(3)</w:t>
            </w:r>
          </w:p>
        </w:tc>
        <w:tc>
          <w:tcPr>
            <w:tcW w:w="246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Depreciation and amortization</w:t>
            </w: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1"/>
                <w:szCs w:val="21"/>
                <w:color w:val="auto"/>
              </w:rPr>
            </w:pPr>
          </w:p>
        </w:tc>
        <w:tc>
          <w:tcPr>
            <w:tcW w:w="358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Obligation Costs</w:t>
            </w:r>
          </w:p>
        </w:tc>
        <w:tc>
          <w:tcPr>
            <w:tcW w:w="2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3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xml:space="preserve">Interest on financing obligations </w:t>
            </w:r>
            <w:r>
              <w:rPr>
                <w:rFonts w:ascii="Times New Roman" w:cs="Times New Roman" w:eastAsia="Times New Roman" w:hAnsi="Times New Roman"/>
                <w:sz w:val="23"/>
                <w:szCs w:val="23"/>
                <w:color w:val="auto"/>
                <w:vertAlign w:val="superscript"/>
              </w:rPr>
              <w:t>(4)</w:t>
            </w:r>
          </w:p>
        </w:tc>
        <w:tc>
          <w:tcPr>
            <w:tcW w:w="2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Interest expense, net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Pr>
          <w:p>
            <w:pPr>
              <w:spacing w:after="0"/>
              <w:rPr>
                <w:sz w:val="24"/>
                <w:szCs w:val="24"/>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80" w:type="dxa"/>
            <w:vAlign w:val="bottom"/>
          </w:tcPr>
          <w:p>
            <w:pPr>
              <w:spacing w:after="0"/>
              <w:rPr>
                <w:sz w:val="24"/>
                <w:szCs w:val="24"/>
                <w:color w:val="auto"/>
              </w:rPr>
            </w:pP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640" w:right="340" w:hanging="315"/>
        <w:spacing w:after="0" w:line="291" w:lineRule="auto"/>
        <w:tabs>
          <w:tab w:leader="none" w:pos="632"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Pertains to the following operating leases: (i) AR PENN Master Lease; (ii) 2023 Master Lease; (iii) Margaritaville Lease (for the period January 1, 2025 to September 30, 2025); (iv) Greektown Lease (for the period January 1, 2025 to September 30, 2025); and (v) VICI Master Lease (for the period January 1, 2026 to September 30, 2026).</w:t>
      </w:r>
    </w:p>
    <w:p>
      <w:pPr>
        <w:spacing w:after="0" w:line="8" w:lineRule="exact"/>
        <w:rPr>
          <w:rFonts w:ascii="Times New Roman" w:cs="Times New Roman" w:eastAsia="Times New Roman" w:hAnsi="Times New Roman"/>
          <w:sz w:val="14"/>
          <w:szCs w:val="14"/>
          <w:color w:val="auto"/>
        </w:rPr>
      </w:pPr>
    </w:p>
    <w:p>
      <w:pPr>
        <w:ind w:left="640" w:hanging="315"/>
        <w:spacing w:after="0"/>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the operating lease costs and variable lease costs pertaining to our triple net leases with our REIT landlords classified as operating leases.</w:t>
      </w:r>
    </w:p>
    <w:p>
      <w:pPr>
        <w:spacing w:after="0" w:line="51" w:lineRule="exact"/>
        <w:rPr>
          <w:rFonts w:ascii="Times New Roman" w:cs="Times New Roman" w:eastAsia="Times New Roman" w:hAnsi="Times New Roman"/>
          <w:sz w:val="14"/>
          <w:szCs w:val="14"/>
          <w:color w:val="auto"/>
        </w:rPr>
      </w:pPr>
    </w:p>
    <w:p>
      <w:pPr>
        <w:ind w:left="640" w:hanging="315"/>
        <w:spacing w:after="0"/>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Pertains to finance lease components associated with the Pinnacle Master Lease (land).</w:t>
      </w:r>
    </w:p>
    <w:p>
      <w:pPr>
        <w:spacing w:after="0" w:line="64" w:lineRule="exact"/>
        <w:rPr>
          <w:rFonts w:ascii="Times New Roman" w:cs="Times New Roman" w:eastAsia="Times New Roman" w:hAnsi="Times New Roman"/>
          <w:sz w:val="14"/>
          <w:szCs w:val="14"/>
          <w:color w:val="auto"/>
        </w:rPr>
      </w:pPr>
    </w:p>
    <w:p>
      <w:pPr>
        <w:ind w:left="640" w:hanging="315"/>
        <w:spacing w:after="0"/>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Pertains to the components contained within the Pinnacle Master Lease (buildings) and the Morgantown Lease.</w:t>
      </w:r>
    </w:p>
    <w:p>
      <w:pPr>
        <w:spacing w:after="0" w:line="1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2880" w:type="dxa"/>
            <w:vAlign w:val="bottom"/>
            <w:gridSpan w:val="5"/>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880" w:type="dxa"/>
            <w:vAlign w:val="bottom"/>
            <w:tcBorders>
              <w:bottom w:val="single" w:sz="8" w:color="auto"/>
            </w:tcBorders>
          </w:tcPr>
          <w:p>
            <w:pPr>
              <w:spacing w:after="0"/>
              <w:rPr>
                <w:sz w:val="20"/>
                <w:szCs w:val="20"/>
                <w:color w:val="auto"/>
              </w:rPr>
            </w:pPr>
          </w:p>
        </w:tc>
      </w:tr>
      <w:tr>
        <w:trPr>
          <w:trHeight w:val="179"/>
        </w:trPr>
        <w:tc>
          <w:tcPr>
            <w:tcW w:w="83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880" w:type="dxa"/>
            <w:vAlign w:val="bottom"/>
          </w:tcPr>
          <w:p>
            <w:pPr>
              <w:jc w:val="right"/>
              <w:spacing w:after="0" w:line="166" w:lineRule="exact"/>
              <w:rPr>
                <w:sz w:val="20"/>
                <w:szCs w:val="20"/>
                <w:color w:val="auto"/>
              </w:rPr>
            </w:pPr>
            <w:r>
              <w:rPr>
                <w:rFonts w:ascii="Times New Roman" w:cs="Times New Roman" w:eastAsia="Times New Roman" w:hAnsi="Times New Roman"/>
                <w:sz w:val="18"/>
                <w:szCs w:val="18"/>
                <w:b w:val="1"/>
                <w:bCs w:val="1"/>
                <w:color w:val="auto"/>
              </w:rPr>
              <w:t>2026</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jc w:val="right"/>
              <w:ind w:right="431"/>
              <w:spacing w:after="0" w:line="166" w:lineRule="exact"/>
              <w:rPr>
                <w:sz w:val="20"/>
                <w:szCs w:val="20"/>
                <w:color w:val="auto"/>
              </w:rPr>
            </w:pPr>
            <w:r>
              <w:rPr>
                <w:rFonts w:ascii="Times New Roman" w:cs="Times New Roman" w:eastAsia="Times New Roman" w:hAnsi="Times New Roman"/>
                <w:sz w:val="18"/>
                <w:szCs w:val="18"/>
                <w:b w:val="1"/>
                <w:bCs w:val="1"/>
                <w:color w:val="auto"/>
                <w:w w:val="94"/>
              </w:rPr>
              <w:t>2025</w:t>
            </w:r>
          </w:p>
        </w:tc>
      </w:tr>
      <w:tr>
        <w:trPr>
          <w:trHeight w:val="33"/>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76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9"/>
        </w:trPr>
        <w:tc>
          <w:tcPr>
            <w:tcW w:w="8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Non-cash lease activities:</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9"/>
        </w:trPr>
        <w:tc>
          <w:tcPr>
            <w:tcW w:w="20" w:type="dxa"/>
            <w:vAlign w:val="bottom"/>
          </w:tcPr>
          <w:p>
            <w:pPr>
              <w:spacing w:after="0"/>
              <w:rPr>
                <w:sz w:val="20"/>
                <w:szCs w:val="20"/>
                <w:color w:val="auto"/>
              </w:rPr>
            </w:pPr>
          </w:p>
        </w:tc>
        <w:tc>
          <w:tcPr>
            <w:tcW w:w="8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Commencement of operating leases</w:t>
            </w:r>
          </w:p>
        </w:tc>
        <w:tc>
          <w:tcPr>
            <w:tcW w:w="880" w:type="dxa"/>
            <w:vAlign w:val="bottom"/>
          </w:tcPr>
          <w:p>
            <w:pPr>
              <w:jc w:val="right"/>
              <w:ind w:right="691"/>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80" w:type="dxa"/>
            <w:vAlign w:val="bottom"/>
          </w:tcPr>
          <w:p>
            <w:pPr>
              <w:spacing w:after="0"/>
              <w:rPr>
                <w:sz w:val="20"/>
                <w:szCs w:val="20"/>
                <w:color w:val="auto"/>
              </w:rPr>
            </w:pPr>
          </w:p>
        </w:tc>
        <w:tc>
          <w:tcPr>
            <w:tcW w:w="5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306.9</w:t>
            </w:r>
          </w:p>
        </w:tc>
      </w:tr>
      <w:tr>
        <w:trPr>
          <w:trHeight w:val="239"/>
        </w:trPr>
        <w:tc>
          <w:tcPr>
            <w:tcW w:w="20" w:type="dxa"/>
            <w:vAlign w:val="bottom"/>
            <w:shd w:val="clear" w:color="auto" w:fill="CCEEFF"/>
          </w:tcPr>
          <w:p>
            <w:pPr>
              <w:spacing w:after="0"/>
              <w:rPr>
                <w:sz w:val="20"/>
                <w:szCs w:val="20"/>
                <w:color w:val="auto"/>
              </w:rPr>
            </w:pPr>
          </w:p>
        </w:tc>
        <w:tc>
          <w:tcPr>
            <w:tcW w:w="8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Derecognition of operating lease liabilities</w:t>
            </w:r>
          </w:p>
        </w:tc>
        <w:tc>
          <w:tcPr>
            <w:tcW w:w="880" w:type="dxa"/>
            <w:vAlign w:val="bottom"/>
            <w:shd w:val="clear" w:color="auto" w:fill="CCEEFF"/>
          </w:tcPr>
          <w:p>
            <w:pPr>
              <w:jc w:val="right"/>
              <w:ind w:right="691"/>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w:t>
            </w:r>
          </w:p>
        </w:tc>
      </w:tr>
      <w:tr>
        <w:trPr>
          <w:trHeight w:val="240"/>
        </w:trPr>
        <w:tc>
          <w:tcPr>
            <w:tcW w:w="20" w:type="dxa"/>
            <w:vAlign w:val="bottom"/>
          </w:tcPr>
          <w:p>
            <w:pPr>
              <w:spacing w:after="0"/>
              <w:rPr>
                <w:sz w:val="20"/>
                <w:szCs w:val="20"/>
                <w:color w:val="auto"/>
              </w:rPr>
            </w:pPr>
          </w:p>
        </w:tc>
        <w:tc>
          <w:tcPr>
            <w:tcW w:w="8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Commencement of finance leases</w:t>
            </w:r>
          </w:p>
        </w:tc>
        <w:tc>
          <w:tcPr>
            <w:tcW w:w="880" w:type="dxa"/>
            <w:vAlign w:val="bottom"/>
          </w:tcPr>
          <w:p>
            <w:pPr>
              <w:jc w:val="right"/>
              <w:ind w:right="691"/>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80" w:type="dxa"/>
            <w:vAlign w:val="bottom"/>
          </w:tcPr>
          <w:p>
            <w:pPr>
              <w:spacing w:after="0"/>
              <w:rPr>
                <w:sz w:val="20"/>
                <w:szCs w:val="20"/>
                <w:color w:val="auto"/>
              </w:rPr>
            </w:pPr>
          </w:p>
        </w:tc>
        <w:tc>
          <w:tcPr>
            <w:tcW w:w="5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r>
    </w:tbl>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7—Investments in and Advances to Unconsolidated Affiliates</w:t>
      </w:r>
    </w:p>
    <w:p>
      <w:pPr>
        <w:spacing w:after="0" w:line="193" w:lineRule="exact"/>
        <w:rPr>
          <w:sz w:val="20"/>
          <w:szCs w:val="20"/>
          <w:color w:val="auto"/>
        </w:rPr>
      </w:pPr>
    </w:p>
    <w:p>
      <w:pPr>
        <w:ind w:right="360" w:firstLine="319"/>
        <w:spacing w:after="0" w:line="275" w:lineRule="auto"/>
        <w:rPr>
          <w:sz w:val="20"/>
          <w:szCs w:val="20"/>
          <w:color w:val="auto"/>
        </w:rPr>
      </w:pPr>
      <w:r>
        <w:rPr>
          <w:rFonts w:ascii="Times New Roman" w:cs="Times New Roman" w:eastAsia="Times New Roman" w:hAnsi="Times New Roman"/>
          <w:sz w:val="18"/>
          <w:szCs w:val="18"/>
          <w:color w:val="auto"/>
        </w:rPr>
        <w:t>As of September 30, 2026, investments in and advances to unconsolidated affiliates primarily consisted of the Company’s 50% investment in Kansas Entertainment, the joint venture with NASCAR that owns Hollywood Casino at Kansas Speedway.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Kansas Entertainment Joint Venture</w:t>
      </w:r>
    </w:p>
    <w:p>
      <w:pPr>
        <w:spacing w:after="0" w:line="182" w:lineRule="exact"/>
        <w:rPr>
          <w:sz w:val="20"/>
          <w:szCs w:val="20"/>
          <w:color w:val="auto"/>
        </w:rPr>
      </w:pPr>
    </w:p>
    <w:p>
      <w:pPr>
        <w:ind w:firstLine="319"/>
        <w:spacing w:after="0" w:line="255" w:lineRule="auto"/>
        <w:rPr>
          <w:sz w:val="20"/>
          <w:szCs w:val="20"/>
          <w:color w:val="auto"/>
        </w:rPr>
      </w:pPr>
      <w:r>
        <w:rPr>
          <w:rFonts w:ascii="Times New Roman" w:cs="Times New Roman" w:eastAsia="Times New Roman" w:hAnsi="Times New Roman"/>
          <w:sz w:val="18"/>
          <w:szCs w:val="18"/>
          <w:color w:val="auto"/>
        </w:rPr>
        <w:t>As of September 30, 2026 and December 31, 2025, our investment in Kansas Entertainment was $75.4 million and $77.8 million, respectively. During the three months ended September 30, 2026 and 2025, the Company received distributions from Kansas Entertainment totaling $11.3 million and $10.5 million, respectively, and $29.0 million and $28.5 million for the nine months ended September 30, 2026, and 2025, respectively. The Company deems these distributions to be returns on its investment based on the source of those cash flows from the normal business operations of Kansas Entertainment.</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187960</wp:posOffset>
            </wp:positionV>
            <wp:extent cx="716026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20" w:firstLine="319"/>
        <w:spacing w:after="0" w:line="253" w:lineRule="auto"/>
        <w:rPr>
          <w:sz w:val="20"/>
          <w:szCs w:val="20"/>
          <w:color w:val="auto"/>
        </w:rPr>
      </w:pPr>
      <w:r>
        <w:rPr>
          <w:rFonts w:ascii="Times New Roman" w:cs="Times New Roman" w:eastAsia="Times New Roman" w:hAnsi="Times New Roman"/>
          <w:sz w:val="18"/>
          <w:szCs w:val="18"/>
          <w:color w:val="auto"/>
        </w:rPr>
        <w:t>The Company has determined that Kansas Entertainment does not qualify as a VIE. Using the guidance for entities that are not VIEs, the Company determined that it did not have a controlling financial interest in the joint venture, primarily as it did not have the ability to direct the activities of the joint venture that most significantly affected the joint venture’s economic performance without the input of NASCAR. Therefore, the Company did not consolidate the financial position of Kansas Entertainment as of September 30, 2026 and December 31, 2025, nor the results of operations for the three and nine months ended September 30, 2026 and 2025.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8—Income Taxes</w:t>
      </w:r>
    </w:p>
    <w:p>
      <w:pPr>
        <w:spacing w:after="0" w:line="180" w:lineRule="exact"/>
        <w:rPr>
          <w:sz w:val="20"/>
          <w:szCs w:val="20"/>
          <w:color w:val="auto"/>
        </w:rPr>
      </w:pPr>
    </w:p>
    <w:p>
      <w:pPr>
        <w:jc w:val="both"/>
        <w:ind w:right="320" w:firstLine="319"/>
        <w:spacing w:after="0" w:line="275" w:lineRule="auto"/>
        <w:rPr>
          <w:sz w:val="20"/>
          <w:szCs w:val="20"/>
          <w:color w:val="auto"/>
        </w:rPr>
      </w:pPr>
      <w:r>
        <w:rPr>
          <w:rFonts w:ascii="Times New Roman" w:cs="Times New Roman" w:eastAsia="Times New Roman" w:hAnsi="Times New Roman"/>
          <w:sz w:val="17"/>
          <w:szCs w:val="17"/>
          <w:color w:val="auto"/>
        </w:rPr>
        <w:t>The Company calculates its provision for income taxes during interim reporting periods by applying an estimate of the annual effective tax rate to its year-to-date pre-tax book income or loss. The tax effects of discrete items are recognized in the period in which they occur. The effective tax rate (income taxes as a percentage of income from operations before income taxes) including discrete items was 3.5% and 13.1% for the three and nine months ended September 30, 2026, respectively, compared to (56.7)% and 32.2% for the three and nine months ended September 30, 2025, respectively.</w:t>
      </w:r>
    </w:p>
    <w:p>
      <w:pPr>
        <w:spacing w:after="0" w:line="127" w:lineRule="exact"/>
        <w:rPr>
          <w:sz w:val="20"/>
          <w:szCs w:val="20"/>
          <w:color w:val="auto"/>
        </w:rPr>
      </w:pPr>
    </w:p>
    <w:p>
      <w:pPr>
        <w:ind w:right="60" w:firstLine="319"/>
        <w:spacing w:after="0" w:line="252" w:lineRule="auto"/>
        <w:rPr>
          <w:sz w:val="20"/>
          <w:szCs w:val="20"/>
          <w:color w:val="auto"/>
        </w:rPr>
      </w:pPr>
      <w:r>
        <w:rPr>
          <w:rFonts w:ascii="Times New Roman" w:cs="Times New Roman" w:eastAsia="Times New Roman" w:hAnsi="Times New Roman"/>
          <w:sz w:val="18"/>
          <w:szCs w:val="18"/>
          <w:color w:val="auto"/>
        </w:rPr>
        <w:t>The changes in the effective tax rate for the three and nine months ended September 30, 2026, as compared to the corresponding prior year periods, were primarily driven by (i) the exclusion of certain foreign losses for which no tax benefit can be recognized in the Company’s worldwide effective tax rate calculation; (ii) non-deductible permanent items; (iii) state income taxes; and (iv) changes in uncertain tax positions. The effective tax rate may vary from period to period depending on, among other factors, the geographic and business mix of the Company’s earnings, changes in its valuation allowance assessment, and other factors, including the Company’s historical and projected pre-tax earnings, which are considered in evaluating the realizability of deferred tax assets.</w:t>
      </w:r>
    </w:p>
    <w:p>
      <w:pPr>
        <w:spacing w:after="0" w:line="157" w:lineRule="exact"/>
        <w:rPr>
          <w:sz w:val="20"/>
          <w:szCs w:val="20"/>
          <w:color w:val="auto"/>
        </w:rPr>
      </w:pPr>
    </w:p>
    <w:p>
      <w:pPr>
        <w:ind w:firstLine="319"/>
        <w:spacing w:after="0" w:line="253" w:lineRule="auto"/>
        <w:rPr>
          <w:sz w:val="20"/>
          <w:szCs w:val="20"/>
          <w:color w:val="auto"/>
        </w:rPr>
      </w:pPr>
      <w:r>
        <w:rPr>
          <w:rFonts w:ascii="Times New Roman" w:cs="Times New Roman" w:eastAsia="Times New Roman" w:hAnsi="Times New Roman"/>
          <w:sz w:val="18"/>
          <w:szCs w:val="18"/>
          <w:color w:val="auto"/>
        </w:rPr>
        <w:t>As of each reporting date, the Company evaluates all available positive and negative evidence in assessing the realizability of deferred tax assets, in accordance with ASC Topic 740, “Income Taxes.” As of September 30, 2026, the Company continues to maintain a valuation allowance on deferred tax assets not considered “more likely than not” to be realized. A reduction in the valuation allowance could result in a significant decrease in income tax expense in the period the release is recorded. The timing and amount of any reversal will depend on actual earnings achieved in 2026 and projected future income levels.</w:t>
      </w:r>
    </w:p>
    <w:p>
      <w:pPr>
        <w:spacing w:after="0" w:line="144" w:lineRule="exact"/>
        <w:rPr>
          <w:sz w:val="20"/>
          <w:szCs w:val="20"/>
          <w:color w:val="auto"/>
        </w:rPr>
      </w:pPr>
    </w:p>
    <w:p>
      <w:pPr>
        <w:ind w:right="100" w:firstLine="319"/>
        <w:spacing w:after="0" w:line="275" w:lineRule="auto"/>
        <w:rPr>
          <w:sz w:val="20"/>
          <w:szCs w:val="20"/>
          <w:color w:val="auto"/>
        </w:rPr>
      </w:pPr>
      <w:r>
        <w:rPr>
          <w:rFonts w:ascii="Times New Roman" w:cs="Times New Roman" w:eastAsia="Times New Roman" w:hAnsi="Times New Roman"/>
          <w:sz w:val="18"/>
          <w:szCs w:val="18"/>
          <w:color w:val="auto"/>
        </w:rPr>
        <w:t>As of September 30, 2026 and December 31, 2025, the Company had prepaid income taxes of $16.4 million and $35.7 million, respectively, which were included in “Prepaid expenses” within the unaudited Consolidated Balance Sheets.</w:t>
      </w:r>
    </w:p>
    <w:p>
      <w:pPr>
        <w:spacing w:after="0" w:line="123" w:lineRule="exact"/>
        <w:rPr>
          <w:sz w:val="20"/>
          <w:szCs w:val="20"/>
          <w:color w:val="auto"/>
        </w:rPr>
      </w:pPr>
    </w:p>
    <w:p>
      <w:pPr>
        <w:ind w:firstLine="319"/>
        <w:spacing w:after="0" w:line="251" w:lineRule="auto"/>
        <w:rPr>
          <w:sz w:val="20"/>
          <w:szCs w:val="20"/>
          <w:color w:val="auto"/>
        </w:rPr>
      </w:pPr>
      <w:r>
        <w:rPr>
          <w:rFonts w:ascii="Times New Roman" w:cs="Times New Roman" w:eastAsia="Times New Roman" w:hAnsi="Times New Roman"/>
          <w:sz w:val="18"/>
          <w:szCs w:val="18"/>
          <w:color w:val="auto"/>
        </w:rPr>
        <w:t>On June 29, 2026, the Indiana Supreme Court ruled in the Company’s favor with respect to its Indiana wagering tax add-back position for the 2015 through 2017 tax years, reversing a prior decision of the Indiana Tax Court. As a result of the ruling, the Company recognized a discrete tax benefit during the second quarter of 2026 related to the 2015 through 2017 tax years. During the third quarter of 2026, the Company was notified by the Indiana Department of Revenue (“DOR”) that the 2018 through 2021 tax years will be reassessed consistent with the Supreme Court ruling. As a result, the Company reversed the previously recorded unrecognized tax benefits and corresponding accrued interest, which was recognized as a discrete tax benefit during the third quarter of 2026 related to the 2018 through 2021 tax years. The Company continues to maintain reserves associated with remaining open tax years pending further resolution of those periods with the DOR.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9—Commitments and Contingencies</w:t>
      </w:r>
    </w:p>
    <w:p>
      <w:pPr>
        <w:spacing w:after="0" w:line="180" w:lineRule="exact"/>
        <w:rPr>
          <w:sz w:val="20"/>
          <w:szCs w:val="20"/>
          <w:color w:val="auto"/>
        </w:rPr>
      </w:pPr>
    </w:p>
    <w:p>
      <w:pPr>
        <w:ind w:right="280" w:firstLine="319"/>
        <w:spacing w:after="0" w:line="253" w:lineRule="auto"/>
        <w:rPr>
          <w:sz w:val="20"/>
          <w:szCs w:val="20"/>
          <w:color w:val="auto"/>
        </w:rPr>
      </w:pPr>
      <w:r>
        <w:rPr>
          <w:rFonts w:ascii="Times New Roman" w:cs="Times New Roman" w:eastAsia="Times New Roman" w:hAnsi="Times New Roman"/>
          <w:sz w:val="18"/>
          <w:szCs w:val="18"/>
          <w:color w:val="auto"/>
        </w:rPr>
        <w:t>The Company is subject to various legal and administrative proceedings relating to personal injuries, employment matters, commercial transactions, development agreements and other matters arising in the ordinary course of business. Although the Company maintains what it believes to be adequate insurance coverage to mitigate the risk of loss pertaining to covered matters, legal and administrative proceedings can be costly, time-consuming, and unpredictable. The Company does not believe that the final outcome of these matters will have a material adverse effect on its financial position, results of operations, or cash flows.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Liability</w:t>
      </w:r>
    </w:p>
    <w:p>
      <w:pPr>
        <w:spacing w:after="0" w:line="195" w:lineRule="exact"/>
        <w:rPr>
          <w:sz w:val="20"/>
          <w:szCs w:val="20"/>
          <w:color w:val="auto"/>
        </w:rPr>
      </w:pPr>
    </w:p>
    <w:p>
      <w:pPr>
        <w:ind w:right="60" w:firstLine="319"/>
        <w:spacing w:after="0" w:line="252" w:lineRule="auto"/>
        <w:rPr>
          <w:sz w:val="20"/>
          <w:szCs w:val="20"/>
          <w:color w:val="auto"/>
        </w:rPr>
      </w:pPr>
      <w:r>
        <w:rPr>
          <w:rFonts w:ascii="Times New Roman" w:cs="Times New Roman" w:eastAsia="Times New Roman" w:hAnsi="Times New Roman"/>
          <w:sz w:val="18"/>
          <w:szCs w:val="18"/>
          <w:color w:val="auto"/>
        </w:rPr>
        <w:t>On August 8, 2023, we entered into a stock purchase agreement with David Portnoy (the “Barstool SPA”) and we sold 100% of the outstanding shares of Barstool Sports, Inc. (“Barstool” or “Barstool Sports”) common stock. Pursuant to the Barstool SPA, the Company agreed to indemnify Barstool and its subsidiaries and David Portnoy for certain tax matters. The indemnity provisions generally provide for the Company’s control of defense and settlement of claims, as well as certain other costs associated with potential tax matters related to Barstool and its subsidiaries and David Portnoy. Claims under the indemnification are paid upon demand. Provisions in the Barstool SPA limit the time within which an indemnification claim can be made to the later of the resolution of the indemnification claim or the relevant statutes of limitations.</w:t>
      </w: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179705</wp:posOffset>
            </wp:positionV>
            <wp:extent cx="716026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firstLine="319"/>
        <w:spacing w:after="0" w:line="253" w:lineRule="auto"/>
        <w:rPr>
          <w:sz w:val="20"/>
          <w:szCs w:val="20"/>
          <w:color w:val="auto"/>
        </w:rPr>
      </w:pPr>
      <w:r>
        <w:rPr>
          <w:rFonts w:ascii="Times New Roman" w:cs="Times New Roman" w:eastAsia="Times New Roman" w:hAnsi="Times New Roman"/>
          <w:sz w:val="18"/>
          <w:szCs w:val="18"/>
          <w:color w:val="auto"/>
        </w:rPr>
        <w:t xml:space="preserve">The maximum potential amount of future payments the Company could be required to make under this indemnification agreement is not estimable at this time due to uncertainties related to potential outcomes and other unique facts and circumstances involved in the Barstool SPA. As of September 30, 2026 and December 31, 2025, the Company has recorded a liability of $38.7 million and $39.5 million, respectively, for this agreement. Liabilities associated with the indemnification are recorded at fair value in “Other long-term liabilities” within the unaudited Consolidated Balance Sheets. See </w:t>
      </w:r>
      <w:r>
        <w:rPr>
          <w:rFonts w:ascii="Times New Roman" w:cs="Times New Roman" w:eastAsia="Times New Roman" w:hAnsi="Times New Roman"/>
          <w:sz w:val="18"/>
          <w:szCs w:val="18"/>
          <w:u w:val="single" w:color="auto"/>
          <w:color w:val="0000FF"/>
        </w:rPr>
        <w:t>Note 12, “Fair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Measurements”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for more information.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10—Stockholders’ Equity and Stock-Based Compensation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and Preferred Stock</w:t>
      </w:r>
    </w:p>
    <w:p>
      <w:pPr>
        <w:spacing w:after="0" w:line="182" w:lineRule="exact"/>
        <w:rPr>
          <w:sz w:val="20"/>
          <w:szCs w:val="20"/>
          <w:color w:val="auto"/>
        </w:rPr>
      </w:pPr>
    </w:p>
    <w:p>
      <w:pPr>
        <w:ind w:right="40" w:firstLine="319"/>
        <w:spacing w:after="0" w:line="250" w:lineRule="auto"/>
        <w:rPr>
          <w:sz w:val="20"/>
          <w:szCs w:val="20"/>
          <w:color w:val="auto"/>
        </w:rPr>
      </w:pPr>
      <w:r>
        <w:rPr>
          <w:rFonts w:ascii="Times New Roman" w:cs="Times New Roman" w:eastAsia="Times New Roman" w:hAnsi="Times New Roman"/>
          <w:sz w:val="18"/>
          <w:szCs w:val="18"/>
          <w:color w:val="auto"/>
        </w:rPr>
        <w:t>In connection with the acquisition of Score Media and Gaming, Inc. (“theScore”) in October 2021, the Company issued 12,319,340 shares of common stock with a par value of $0.01, and 697,539 exchangeable shares, par value $0.01 (“Exchangeable Shares”) through the capital of an indirect wholly-owned subsidiary of PENN, in addition to cash consideration. Each Exchangeable Share is exchangeable into one share of PENN common stock at the option of the holder, subject to certain adjustments. Upon the acquisition of theScore, certain employees of theScore elected to have their outstanding equity awards issued as Exchangeable Shares once the shares vest or are exercised. In addition, the Company will redeem all outstanding Exchangeable Shares in exchange for shares of PENN common stock at any time following the fifth anniversary of the closing, or earlier under certain circumstances. On October 15, 2026, the Company provided notice of its election to redeem all outstanding Exchangeable Shares in exchange for shares of PENN common stock, which redemption will occur on or about December 15, 2026.</w:t>
      </w:r>
    </w:p>
    <w:p>
      <w:pPr>
        <w:spacing w:after="0" w:line="161" w:lineRule="exact"/>
        <w:rPr>
          <w:sz w:val="20"/>
          <w:szCs w:val="20"/>
          <w:color w:val="auto"/>
        </w:rPr>
      </w:pPr>
    </w:p>
    <w:p>
      <w:pPr>
        <w:ind w:right="280" w:firstLine="319"/>
        <w:spacing w:after="0" w:line="260" w:lineRule="auto"/>
        <w:rPr>
          <w:sz w:val="20"/>
          <w:szCs w:val="20"/>
          <w:color w:val="auto"/>
        </w:rPr>
      </w:pPr>
      <w:r>
        <w:rPr>
          <w:rFonts w:ascii="Times New Roman" w:cs="Times New Roman" w:eastAsia="Times New Roman" w:hAnsi="Times New Roman"/>
          <w:sz w:val="18"/>
          <w:szCs w:val="18"/>
          <w:color w:val="auto"/>
        </w:rPr>
        <w:t>The Company did not issue any Exchangeable Shares during the three and nine months ended September 30, 2026 and 2025, respectively. As of both September 30, 2026 and December 31, 2025, there were 768,441 Exchangeable Shares authorized, of which 98,920 shares and 379,821 shares were outstanding, respectively.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Authorization</w:t>
      </w:r>
    </w:p>
    <w:p>
      <w:pPr>
        <w:spacing w:after="0" w:line="182" w:lineRule="exact"/>
        <w:rPr>
          <w:sz w:val="20"/>
          <w:szCs w:val="20"/>
          <w:color w:val="auto"/>
        </w:rPr>
      </w:pPr>
    </w:p>
    <w:p>
      <w:pPr>
        <w:ind w:right="460" w:firstLine="319"/>
        <w:spacing w:after="0" w:line="275" w:lineRule="auto"/>
        <w:rPr>
          <w:sz w:val="20"/>
          <w:szCs w:val="20"/>
          <w:color w:val="auto"/>
        </w:rPr>
      </w:pPr>
      <w:r>
        <w:rPr>
          <w:rFonts w:ascii="Times New Roman" w:cs="Times New Roman" w:eastAsia="Times New Roman" w:hAnsi="Times New Roman"/>
          <w:sz w:val="18"/>
          <w:szCs w:val="18"/>
          <w:color w:val="auto"/>
        </w:rPr>
        <w:t>On October 30, 2025, the Board of Directors approved a new $750.0 million share repurchase program (the “October 2025 Authorization”), which commenced on January 1, 2026 and expires on December 31, 2028.</w:t>
      </w:r>
    </w:p>
    <w:p>
      <w:pPr>
        <w:spacing w:after="0" w:line="137" w:lineRule="exact"/>
        <w:rPr>
          <w:sz w:val="20"/>
          <w:szCs w:val="20"/>
          <w:color w:val="auto"/>
        </w:rPr>
      </w:pPr>
    </w:p>
    <w:p>
      <w:pPr>
        <w:ind w:firstLine="319"/>
        <w:spacing w:after="0" w:line="255" w:lineRule="auto"/>
        <w:rPr>
          <w:sz w:val="20"/>
          <w:szCs w:val="20"/>
          <w:color w:val="auto"/>
        </w:rPr>
      </w:pPr>
      <w:r>
        <w:rPr>
          <w:rFonts w:ascii="Times New Roman" w:cs="Times New Roman" w:eastAsia="Times New Roman" w:hAnsi="Times New Roman"/>
          <w:sz w:val="18"/>
          <w:szCs w:val="18"/>
          <w:color w:val="auto"/>
        </w:rPr>
        <w:t>Repurchases by the Company are subject to available liquidity, general market and economic conditions, alternate uses for capital, and other factors. Share repurchases may be made from time to time through a Rule 10b5-1 trading plan, open market transactions, block trades, or in private transactions in accordance with applicable securities laws and regulations and other legal requirements. There is no minimum number of shares that the Company is required to repurchase and the repurchase authorization may be suspended or discontinued at any time without prior notice.</w:t>
      </w:r>
    </w:p>
    <w:p>
      <w:pPr>
        <w:spacing w:after="0" w:line="1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 shares of the Company’s common stock were repurchased during the three and nine months ended September 30, 2026.</w:t>
      </w:r>
    </w:p>
    <w:p>
      <w:pPr>
        <w:spacing w:after="0" w:line="178" w:lineRule="exact"/>
        <w:rPr>
          <w:sz w:val="20"/>
          <w:szCs w:val="20"/>
          <w:color w:val="auto"/>
        </w:rPr>
      </w:pPr>
    </w:p>
    <w:p>
      <w:pPr>
        <w:ind w:right="220" w:firstLine="319"/>
        <w:spacing w:after="0" w:line="255" w:lineRule="auto"/>
        <w:rPr>
          <w:sz w:val="20"/>
          <w:szCs w:val="20"/>
          <w:color w:val="auto"/>
        </w:rPr>
      </w:pPr>
      <w:r>
        <w:rPr>
          <w:rFonts w:ascii="Times New Roman" w:cs="Times New Roman" w:eastAsia="Times New Roman" w:hAnsi="Times New Roman"/>
          <w:sz w:val="18"/>
          <w:szCs w:val="18"/>
          <w:color w:val="auto"/>
        </w:rPr>
        <w:t>During the three months ended September 30, 2025, the Company repurchased 7,965,282 shares of its common stock for $154.1 million at an average price of $19.34 per share. During the nine months ended September 30, 2025, the Company repurchased 15,214,631 shares of its common stock for $269.4 million at an average price of $17.70 per share. All shares repurchased in 2025 were purchased in open market transactions under the prior $750.0 million authorization approved on December 6, 2022.</w:t>
      </w:r>
    </w:p>
    <w:p>
      <w:pPr>
        <w:spacing w:after="0" w:line="1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cost of all repurchased shares is recorded as “Treasury stock” within the unaudited Consolidated Balance Sheets.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Long Term Incentive Compensation Plan</w:t>
      </w:r>
    </w:p>
    <w:p>
      <w:pPr>
        <w:spacing w:after="0" w:line="182" w:lineRule="exact"/>
        <w:rPr>
          <w:sz w:val="20"/>
          <w:szCs w:val="20"/>
          <w:color w:val="auto"/>
        </w:rPr>
      </w:pPr>
    </w:p>
    <w:p>
      <w:pPr>
        <w:ind w:right="60" w:firstLine="319"/>
        <w:spacing w:after="0" w:line="269" w:lineRule="auto"/>
        <w:rPr>
          <w:sz w:val="20"/>
          <w:szCs w:val="20"/>
          <w:color w:val="auto"/>
        </w:rPr>
      </w:pPr>
      <w:r>
        <w:rPr>
          <w:rFonts w:ascii="Times New Roman" w:cs="Times New Roman" w:eastAsia="Times New Roman" w:hAnsi="Times New Roman"/>
          <w:sz w:val="17"/>
          <w:szCs w:val="17"/>
          <w:color w:val="auto"/>
        </w:rPr>
        <w:t>The 2022 Long Term Incentive Compensation Plan, which was approved by the Company’s shareholders on June 7, 2022, authorizes the Company to issue stock options, stock appreciation rights, restricted stock, performance awards, and cash awards to executive officers, non-employee directors, other employees, consultants, and advisors of the Company and its subsidiaries. Non-employee directors and consultants are eligible to receive all awards other than incentive stock options. Shareholders approved amendments to the plan on June 6, 2023, June 17, 2025, and June 16, 2026. The June 16, 2026 amendment increased the number of shares by 4,000,000, for a total of 26,067,275 shares reserved for issuance. Equity-settled awards count against the limit on a one-for-one basis, while awards not settled in common stock do not. As of September 30, 2026, 9,994,112 shares remained available for future grants.</w:t>
      </w:r>
    </w:p>
    <w:p>
      <w:pPr>
        <w:spacing w:after="0" w:line="200" w:lineRule="exact"/>
        <w:rPr>
          <w:sz w:val="20"/>
          <w:szCs w:val="20"/>
          <w:color w:val="auto"/>
        </w:rPr>
      </w:pPr>
    </w:p>
    <w:p>
      <w:pPr>
        <w:spacing w:after="0" w:line="3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187960</wp:posOffset>
            </wp:positionV>
            <wp:extent cx="716026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Share Program</w:t>
      </w:r>
    </w:p>
    <w:p>
      <w:pPr>
        <w:spacing w:after="0" w:line="195" w:lineRule="exact"/>
        <w:rPr>
          <w:sz w:val="20"/>
          <w:szCs w:val="20"/>
          <w:color w:val="auto"/>
        </w:rPr>
      </w:pPr>
    </w:p>
    <w:p>
      <w:pPr>
        <w:ind w:right="220" w:firstLine="319"/>
        <w:spacing w:after="0" w:line="260" w:lineRule="auto"/>
        <w:rPr>
          <w:sz w:val="20"/>
          <w:szCs w:val="20"/>
          <w:color w:val="auto"/>
        </w:rPr>
      </w:pPr>
      <w:r>
        <w:rPr>
          <w:rFonts w:ascii="Times New Roman" w:cs="Times New Roman" w:eastAsia="Times New Roman" w:hAnsi="Times New Roman"/>
          <w:sz w:val="18"/>
          <w:szCs w:val="18"/>
          <w:color w:val="auto"/>
        </w:rPr>
        <w:t>The Company’s performance share programs were adopted to provide certain key executives with stock-based compensation tied directly to the Company’s performance, which further aligns their interests with our shareholders and provides compensation only if the designated performance goals are met for the applicable performance periods.</w:t>
      </w:r>
    </w:p>
    <w:p>
      <w:pPr>
        <w:spacing w:after="0" w:line="137" w:lineRule="exact"/>
        <w:rPr>
          <w:sz w:val="20"/>
          <w:szCs w:val="20"/>
          <w:color w:val="auto"/>
        </w:rPr>
      </w:pPr>
    </w:p>
    <w:p>
      <w:pPr>
        <w:ind w:right="120" w:firstLine="319"/>
        <w:spacing w:after="0" w:line="252" w:lineRule="auto"/>
        <w:rPr>
          <w:sz w:val="20"/>
          <w:szCs w:val="20"/>
          <w:color w:val="auto"/>
        </w:rPr>
      </w:pPr>
      <w:r>
        <w:rPr>
          <w:rFonts w:ascii="Times New Roman" w:cs="Times New Roman" w:eastAsia="Times New Roman" w:hAnsi="Times New Roman"/>
          <w:sz w:val="18"/>
          <w:szCs w:val="18"/>
          <w:color w:val="auto"/>
        </w:rPr>
        <w:t>During the nine months ended September 30, 2026, the Company granted 726,565 restricted units, at target, subject to service and performance conditions and a market condition. The awards granted in 2026 are subject to a three-year performance period over a three-year service period. No units are earned prior to vesting, except as provided under the retirement provisions in the applicable award agreement. The number of units earned may be between 0% and 200% of target units granted depending on the achievement of a specified financial performance goal, subject to further adjustment (±20%) based on the Company’s relative total shareholder return “TSR” for the three-year performance period compared to a specified stock market index. The TSR modifier also incorporates a downside safeguard, such that no upward TSR modifier will apply if the three-year absolute TSR is negative.</w:t>
      </w:r>
    </w:p>
    <w:p>
      <w:pPr>
        <w:spacing w:after="0" w:line="144" w:lineRule="exact"/>
        <w:rPr>
          <w:sz w:val="20"/>
          <w:szCs w:val="20"/>
          <w:color w:val="auto"/>
        </w:rPr>
      </w:pPr>
    </w:p>
    <w:p>
      <w:pPr>
        <w:ind w:right="200" w:firstLine="319"/>
        <w:spacing w:after="0" w:line="255" w:lineRule="auto"/>
        <w:rPr>
          <w:sz w:val="20"/>
          <w:szCs w:val="20"/>
          <w:color w:val="auto"/>
        </w:rPr>
      </w:pPr>
      <w:r>
        <w:rPr>
          <w:rFonts w:ascii="Times New Roman" w:cs="Times New Roman" w:eastAsia="Times New Roman" w:hAnsi="Times New Roman"/>
          <w:sz w:val="18"/>
          <w:szCs w:val="18"/>
          <w:color w:val="auto"/>
        </w:rPr>
        <w:t>During the nine months ended September 30, 2025, the Company granted 1,254,323 restricted units, at target, subject to service and performance conditions. The awards granted in 2025 are subject to a three-year performance period over a three-year service period. No units are earned prior to vesting, except as provided under the retirement provisions in the applicable award agreement. The number of units earned may be between 0% and 200% of target units granted depending on the achievement of specified performance goals.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Earnings (Loss) Per Share</w:t>
      </w:r>
    </w:p>
    <w:p>
      <w:pPr>
        <w:spacing w:after="0" w:line="180" w:lineRule="exact"/>
        <w:rPr>
          <w:sz w:val="20"/>
          <w:szCs w:val="20"/>
          <w:color w:val="auto"/>
        </w:rPr>
      </w:pPr>
    </w:p>
    <w:p>
      <w:pPr>
        <w:ind w:right="320" w:firstLine="319"/>
        <w:spacing w:after="0" w:line="253" w:lineRule="auto"/>
        <w:rPr>
          <w:sz w:val="20"/>
          <w:szCs w:val="20"/>
          <w:color w:val="auto"/>
        </w:rPr>
      </w:pPr>
      <w:r>
        <w:rPr>
          <w:rFonts w:ascii="Times New Roman" w:cs="Times New Roman" w:eastAsia="Times New Roman" w:hAnsi="Times New Roman"/>
          <w:sz w:val="18"/>
          <w:szCs w:val="18"/>
          <w:color w:val="auto"/>
        </w:rPr>
        <w:t>We recorded net income attributable to PENN for both of the three and nine months ended September 30, 2026. As such, we used diluted weighted-average common shares outstanding when calculating diluted income per share. Stock options, restricted stock, and convertible debt that could potentially dilute basic EPS in the future are included in the computation of diluted income per share. The following table reconciles the weighted-average common shares outstanding used in the calculation of basic EPS to the weighted-average common shares outstanding used in the calculation of diluted EPS for the three and nine months ended September 30, 2026.</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3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For the three months ended</w:t>
            </w:r>
          </w:p>
        </w:tc>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For the nine months ended</w:t>
            </w: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3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r>
      <w:tr>
        <w:trPr>
          <w:trHeight w:val="179"/>
        </w:trPr>
        <w:tc>
          <w:tcPr>
            <w:tcW w:w="53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900" w:type="dxa"/>
            <w:vAlign w:val="bottom"/>
            <w:tcBorders>
              <w:top w:val="single" w:sz="8" w:color="auto"/>
            </w:tcBorders>
          </w:tcPr>
          <w:p>
            <w:pPr>
              <w:jc w:val="center"/>
              <w:spacing w:after="0" w:line="166" w:lineRule="exact"/>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Pr>
          <w:p>
            <w:pPr>
              <w:spacing w:after="0"/>
              <w:rPr>
                <w:sz w:val="15"/>
                <w:szCs w:val="15"/>
                <w:color w:val="auto"/>
              </w:rPr>
            </w:pPr>
          </w:p>
        </w:tc>
        <w:tc>
          <w:tcPr>
            <w:tcW w:w="2900" w:type="dxa"/>
            <w:vAlign w:val="bottom"/>
            <w:tcBorders>
              <w:top w:val="single" w:sz="8" w:color="auto"/>
            </w:tcBorders>
          </w:tcPr>
          <w:p>
            <w:pPr>
              <w:jc w:val="center"/>
              <w:spacing w:after="0" w:line="166" w:lineRule="exact"/>
              <w:rPr>
                <w:sz w:val="20"/>
                <w:szCs w:val="20"/>
                <w:color w:val="auto"/>
              </w:rPr>
            </w:pPr>
            <w:r>
              <w:rPr>
                <w:rFonts w:ascii="Times New Roman" w:cs="Times New Roman" w:eastAsia="Times New Roman" w:hAnsi="Times New Roman"/>
                <w:sz w:val="18"/>
                <w:szCs w:val="18"/>
                <w:b w:val="1"/>
                <w:bCs w:val="1"/>
                <w:color w:val="auto"/>
                <w:w w:val="94"/>
              </w:rPr>
              <w:t>2026</w:t>
            </w:r>
          </w:p>
        </w:tc>
      </w:tr>
      <w:tr>
        <w:trPr>
          <w:trHeight w:val="33"/>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r>
      <w:tr>
        <w:trPr>
          <w:trHeight w:val="232"/>
        </w:trPr>
        <w:tc>
          <w:tcPr>
            <w:tcW w:w="5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common shares outstanding</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00" w:type="dxa"/>
            <w:vAlign w:val="bottom"/>
            <w:shd w:val="clear" w:color="auto" w:fill="CCEEFF"/>
          </w:tcPr>
          <w:p>
            <w:pPr>
              <w:spacing w:after="0"/>
              <w:rPr>
                <w:sz w:val="20"/>
                <w:szCs w:val="20"/>
                <w:color w:val="auto"/>
              </w:rPr>
            </w:pP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w:t>
            </w:r>
          </w:p>
        </w:tc>
      </w:tr>
      <w:tr>
        <w:trPr>
          <w:trHeight w:val="239"/>
        </w:trPr>
        <w:tc>
          <w:tcPr>
            <w:tcW w:w="20" w:type="dxa"/>
            <w:vAlign w:val="bottom"/>
          </w:tcPr>
          <w:p>
            <w:pPr>
              <w:spacing w:after="0"/>
              <w:rPr>
                <w:sz w:val="20"/>
                <w:szCs w:val="20"/>
                <w:color w:val="auto"/>
              </w:rPr>
            </w:pPr>
          </w:p>
        </w:tc>
        <w:tc>
          <w:tcPr>
            <w:tcW w:w="5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Assumed conversion of:</w:t>
            </w:r>
          </w:p>
        </w:tc>
        <w:tc>
          <w:tcPr>
            <w:tcW w:w="2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00" w:type="dxa"/>
            <w:vAlign w:val="bottom"/>
          </w:tcPr>
          <w:p>
            <w:pPr>
              <w:spacing w:after="0"/>
              <w:rPr>
                <w:sz w:val="20"/>
                <w:szCs w:val="20"/>
                <w:color w:val="auto"/>
              </w:rPr>
            </w:pPr>
          </w:p>
        </w:tc>
      </w:tr>
      <w:tr>
        <w:trPr>
          <w:trHeight w:val="239"/>
        </w:trPr>
        <w:tc>
          <w:tcPr>
            <w:tcW w:w="20" w:type="dxa"/>
            <w:vAlign w:val="bottom"/>
            <w:shd w:val="clear" w:color="auto" w:fill="CCEEFF"/>
          </w:tcPr>
          <w:p>
            <w:pPr>
              <w:spacing w:after="0"/>
              <w:rPr>
                <w:sz w:val="20"/>
                <w:szCs w:val="20"/>
                <w:color w:val="auto"/>
              </w:rPr>
            </w:pPr>
          </w:p>
        </w:tc>
        <w:tc>
          <w:tcPr>
            <w:tcW w:w="53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Dilutive restricted stock</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20"/>
                <w:szCs w:val="20"/>
                <w:color w:val="auto"/>
              </w:rPr>
            </w:pP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9"/>
        </w:trPr>
        <w:tc>
          <w:tcPr>
            <w:tcW w:w="20" w:type="dxa"/>
            <w:vAlign w:val="bottom"/>
          </w:tcPr>
          <w:p>
            <w:pPr>
              <w:spacing w:after="0"/>
              <w:rPr>
                <w:sz w:val="20"/>
                <w:szCs w:val="20"/>
                <w:color w:val="auto"/>
              </w:rPr>
            </w:pPr>
          </w:p>
        </w:tc>
        <w:tc>
          <w:tcPr>
            <w:tcW w:w="5320" w:type="dxa"/>
            <w:vAlign w:val="bottom"/>
            <w:gridSpan w:val="2"/>
          </w:tcPr>
          <w:p>
            <w:pPr>
              <w:ind w:left="420"/>
              <w:spacing w:after="0" w:line="239" w:lineRule="exact"/>
              <w:rPr>
                <w:sz w:val="20"/>
                <w:szCs w:val="20"/>
                <w:color w:val="auto"/>
              </w:rPr>
            </w:pPr>
            <w:r>
              <w:rPr>
                <w:rFonts w:ascii="Times New Roman" w:cs="Times New Roman" w:eastAsia="Times New Roman" w:hAnsi="Times New Roman"/>
                <w:sz w:val="18"/>
                <w:szCs w:val="18"/>
                <w:color w:val="auto"/>
              </w:rPr>
              <w:t xml:space="preserve">Convertible debt </w:t>
            </w:r>
            <w:r>
              <w:rPr>
                <w:rFonts w:ascii="Times New Roman" w:cs="Times New Roman" w:eastAsia="Times New Roman" w:hAnsi="Times New Roman"/>
                <w:sz w:val="23"/>
                <w:szCs w:val="23"/>
                <w:color w:val="auto"/>
                <w:vertAlign w:val="superscript"/>
              </w:rPr>
              <w:t>(1)</w:t>
            </w:r>
          </w:p>
        </w:tc>
        <w:tc>
          <w:tcPr>
            <w:tcW w:w="3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57"/>
        </w:trPr>
        <w:tc>
          <w:tcPr>
            <w:tcW w:w="534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common shares outstanding - Diluted</w:t>
            </w:r>
          </w:p>
        </w:tc>
        <w:tc>
          <w:tcPr>
            <w:tcW w:w="2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460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bottom w:val="single" w:sz="8" w:color="auto"/>
            </w:tcBorders>
          </w:tcPr>
          <w:p>
            <w:pPr>
              <w:spacing w:after="0" w:line="20" w:lineRule="exact"/>
              <w:rPr>
                <w:sz w:val="1"/>
                <w:szCs w:val="1"/>
                <w:color w:val="auto"/>
              </w:rPr>
            </w:pPr>
          </w:p>
        </w:tc>
      </w:tr>
    </w:tbl>
    <w:p>
      <w:pPr>
        <w:spacing w:after="0" w:line="123" w:lineRule="exact"/>
        <w:rPr>
          <w:sz w:val="20"/>
          <w:szCs w:val="20"/>
          <w:color w:val="auto"/>
        </w:rPr>
      </w:pPr>
    </w:p>
    <w:p>
      <w:pPr>
        <w:ind w:left="640" w:hanging="315"/>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See </w:t>
      </w:r>
      <w:r>
        <w:rPr>
          <w:rFonts w:ascii="Times New Roman" w:cs="Times New Roman" w:eastAsia="Times New Roman" w:hAnsi="Times New Roman"/>
          <w:sz w:val="14"/>
          <w:szCs w:val="14"/>
          <w:u w:val="single" w:color="auto"/>
          <w:color w:val="0000FF"/>
        </w:rPr>
        <w:t>Note 5, “Long-Term Debt”</w:t>
      </w:r>
      <w:r>
        <w:rPr>
          <w:rFonts w:ascii="Times New Roman" w:cs="Times New Roman" w:eastAsia="Times New Roman" w:hAnsi="Times New Roman"/>
          <w:sz w:val="14"/>
          <w:szCs w:val="14"/>
          <w:color w:val="auto"/>
        </w:rPr>
        <w:t xml:space="preserve"> for details regarding the repayment of the Convertible Notes.</w:t>
      </w:r>
    </w:p>
    <w:p>
      <w:pPr>
        <w:spacing w:after="0" w:line="189" w:lineRule="exact"/>
        <w:rPr>
          <w:sz w:val="20"/>
          <w:szCs w:val="20"/>
          <w:color w:val="auto"/>
        </w:rPr>
      </w:pPr>
    </w:p>
    <w:p>
      <w:pPr>
        <w:ind w:right="80" w:firstLine="319"/>
        <w:spacing w:after="0" w:line="275" w:lineRule="auto"/>
        <w:rPr>
          <w:sz w:val="20"/>
          <w:szCs w:val="20"/>
          <w:color w:val="auto"/>
        </w:rPr>
      </w:pPr>
      <w:r>
        <w:rPr>
          <w:rFonts w:ascii="Times New Roman" w:cs="Times New Roman" w:eastAsia="Times New Roman" w:hAnsi="Times New Roman"/>
          <w:sz w:val="18"/>
          <w:szCs w:val="18"/>
          <w:color w:val="auto"/>
        </w:rPr>
        <w:t>Restricted stock with performance and market based vesting conditions that were not met as of September 30, 2026 were excluded from the computation of diluted EPS.</w:t>
      </w:r>
    </w:p>
    <w:p>
      <w:pPr>
        <w:spacing w:after="0" w:line="123" w:lineRule="exact"/>
        <w:rPr>
          <w:sz w:val="20"/>
          <w:szCs w:val="20"/>
          <w:color w:val="auto"/>
        </w:rPr>
      </w:pPr>
    </w:p>
    <w:p>
      <w:pPr>
        <w:ind w:right="180" w:firstLine="319"/>
        <w:spacing w:after="0" w:line="253" w:lineRule="auto"/>
        <w:rPr>
          <w:sz w:val="20"/>
          <w:szCs w:val="20"/>
          <w:color w:val="auto"/>
        </w:rPr>
      </w:pPr>
      <w:r>
        <w:rPr>
          <w:rFonts w:ascii="Times New Roman" w:cs="Times New Roman" w:eastAsia="Times New Roman" w:hAnsi="Times New Roman"/>
          <w:sz w:val="18"/>
          <w:szCs w:val="18"/>
          <w:color w:val="auto"/>
        </w:rPr>
        <w:t>For the three and nine months ended September 30, 2025, we recorded a net loss attributable to PENN. As such, because the dilution from potential common shares was anti-dilutive, we used basic weighted-average common shares outstanding rather than diluted weighted-average common shares outstanding when calculating diluted loss per share. There are no reconciling items between the weighted-average common shares outstanding for basic and diluted EPS calculations for the period in which we recorded a net loss. Restricted stock and convertible debt that could potentially dilute basic EPS in the future, that are not included in the computation of diluted loss per share, are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560" w:type="dxa"/>
            <w:vAlign w:val="bottom"/>
          </w:tcPr>
          <w:p>
            <w:pPr>
              <w:jc w:val="center"/>
              <w:ind w:left="251"/>
              <w:spacing w:after="0"/>
              <w:rPr>
                <w:sz w:val="20"/>
                <w:szCs w:val="20"/>
                <w:color w:val="auto"/>
              </w:rPr>
            </w:pPr>
            <w:r>
              <w:rPr>
                <w:rFonts w:ascii="Times New Roman" w:cs="Times New Roman" w:eastAsia="Times New Roman" w:hAnsi="Times New Roman"/>
                <w:sz w:val="18"/>
                <w:szCs w:val="18"/>
                <w:b w:val="1"/>
                <w:bCs w:val="1"/>
                <w:color w:val="auto"/>
                <w:w w:val="98"/>
              </w:rPr>
              <w:t>For the three months ended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For the nine months ended</w:t>
            </w:r>
          </w:p>
        </w:tc>
      </w:tr>
      <w:tr>
        <w:trPr>
          <w:trHeight w:val="236"/>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560" w:type="dxa"/>
            <w:vAlign w:val="bottom"/>
            <w:tcBorders>
              <w:bottom w:val="single" w:sz="8" w:color="auto"/>
            </w:tcBorders>
          </w:tcPr>
          <w:p>
            <w:pPr>
              <w:jc w:val="center"/>
              <w:ind w:left="231"/>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r>
      <w:tr>
        <w:trPr>
          <w:trHeight w:val="182"/>
        </w:trPr>
        <w:tc>
          <w:tcPr>
            <w:tcW w:w="53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560" w:type="dxa"/>
            <w:vAlign w:val="bottom"/>
          </w:tcPr>
          <w:p>
            <w:pPr>
              <w:jc w:val="center"/>
              <w:ind w:left="231"/>
              <w:spacing w:after="0" w:line="166" w:lineRule="exact"/>
              <w:rPr>
                <w:sz w:val="20"/>
                <w:szCs w:val="20"/>
                <w:color w:val="auto"/>
              </w:rPr>
            </w:pPr>
            <w:r>
              <w:rPr>
                <w:rFonts w:ascii="Times New Roman" w:cs="Times New Roman" w:eastAsia="Times New Roman" w:hAnsi="Times New Roman"/>
                <w:sz w:val="18"/>
                <w:szCs w:val="18"/>
                <w:b w:val="1"/>
                <w:bCs w:val="1"/>
                <w:color w:val="auto"/>
                <w:w w:val="99"/>
              </w:rPr>
              <w:t>2025</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00" w:type="dxa"/>
            <w:vAlign w:val="bottom"/>
          </w:tcPr>
          <w:p>
            <w:pPr>
              <w:jc w:val="center"/>
              <w:spacing w:after="0" w:line="166" w:lineRule="exact"/>
              <w:rPr>
                <w:sz w:val="20"/>
                <w:szCs w:val="20"/>
                <w:color w:val="auto"/>
              </w:rPr>
            </w:pPr>
            <w:r>
              <w:rPr>
                <w:rFonts w:ascii="Times New Roman" w:cs="Times New Roman" w:eastAsia="Times New Roman" w:hAnsi="Times New Roman"/>
                <w:sz w:val="18"/>
                <w:szCs w:val="18"/>
                <w:b w:val="1"/>
                <w:bCs w:val="1"/>
                <w:color w:val="auto"/>
                <w:w w:val="94"/>
              </w:rPr>
              <w:t>2025</w:t>
            </w:r>
          </w:p>
        </w:tc>
      </w:tr>
      <w:tr>
        <w:trPr>
          <w:trHeight w:val="33"/>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r>
      <w:tr>
        <w:trPr>
          <w:trHeight w:val="232"/>
        </w:trPr>
        <w:tc>
          <w:tcPr>
            <w:tcW w:w="5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Assumed conversion of dilutive restricted stock</w:t>
            </w:r>
          </w:p>
        </w:tc>
        <w:tc>
          <w:tcPr>
            <w:tcW w:w="256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20"/>
                <w:szCs w:val="20"/>
                <w:color w:val="auto"/>
              </w:rPr>
            </w:pP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40"/>
        </w:trPr>
        <w:tc>
          <w:tcPr>
            <w:tcW w:w="5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Assumed conversion of convertible debt</w:t>
            </w:r>
          </w:p>
        </w:tc>
        <w:tc>
          <w:tcPr>
            <w:tcW w:w="25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0"/>
                <w:szCs w:val="20"/>
                <w:color w:val="auto"/>
              </w:rPr>
            </w:pP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837"/>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560" w:type="dxa"/>
            <w:vAlign w:val="bottom"/>
          </w:tcPr>
          <w:p>
            <w:pPr>
              <w:jc w:val="right"/>
              <w:ind w:right="2091"/>
              <w:spacing w:after="0"/>
              <w:rPr>
                <w:sz w:val="20"/>
                <w:szCs w:val="20"/>
                <w:color w:val="auto"/>
              </w:rPr>
            </w:pPr>
            <w:r>
              <w:rPr>
                <w:rFonts w:ascii="Times New Roman" w:cs="Times New Roman" w:eastAsia="Times New Roman" w:hAnsi="Times New Roman"/>
                <w:sz w:val="18"/>
                <w:szCs w:val="18"/>
                <w:color w:val="auto"/>
              </w:rPr>
              <w:t>26</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298"/>
        </w:trPr>
        <w:tc>
          <w:tcPr>
            <w:tcW w:w="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60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100" w:firstLine="319"/>
        <w:spacing w:after="0" w:line="253" w:lineRule="auto"/>
        <w:rPr>
          <w:sz w:val="20"/>
          <w:szCs w:val="20"/>
          <w:color w:val="auto"/>
        </w:rPr>
      </w:pPr>
      <w:r>
        <w:rPr>
          <w:rFonts w:ascii="Times New Roman" w:cs="Times New Roman" w:eastAsia="Times New Roman" w:hAnsi="Times New Roman"/>
          <w:sz w:val="18"/>
          <w:szCs w:val="18"/>
          <w:color w:val="auto"/>
        </w:rPr>
        <w:t>Anti-dilutive equity-based awards are excluded from the computation of diluted EPS, and primarily consist of stock options awarded under the Company’s previous and current long-term incentive compensation plans and warrants previously issued (“Initial Warrants”) under the terms of the Investment Agreement between PENN and ESPN, entered into on August 8, 2023 (the “Investment Agreement”). The prior year periods included warrants outstanding prior to the November 5, 2025 amendment to the Investment Agreement, pursuant to which the Initial Warrants were deemed vested through and including February 8, 2026. The remaining unvested warrants were forfeited and cancelled for no consideration.</w:t>
      </w:r>
    </w:p>
    <w:p>
      <w:pPr>
        <w:spacing w:after="0" w:line="157" w:lineRule="exact"/>
        <w:rPr>
          <w:sz w:val="20"/>
          <w:szCs w:val="20"/>
          <w:color w:val="auto"/>
        </w:rPr>
      </w:pPr>
    </w:p>
    <w:p>
      <w:pPr>
        <w:ind w:right="920" w:firstLine="319"/>
        <w:spacing w:after="0" w:line="305" w:lineRule="auto"/>
        <w:rPr>
          <w:sz w:val="20"/>
          <w:szCs w:val="20"/>
          <w:color w:val="auto"/>
        </w:rPr>
      </w:pPr>
      <w:r>
        <w:rPr>
          <w:rFonts w:ascii="Times New Roman" w:cs="Times New Roman" w:eastAsia="Times New Roman" w:hAnsi="Times New Roman"/>
          <w:sz w:val="17"/>
          <w:szCs w:val="17"/>
          <w:color w:val="auto"/>
        </w:rPr>
        <w:t>Anti-dilutive options and warrants to purchase 12.3 million and 13.7 million shares were outstanding during the three and nine months ended September 30, 2026, respectively, and 37.0 million shares were outstanding during both the three and nine months ended September 30, 2025.</w:t>
      </w:r>
    </w:p>
    <w:p>
      <w:pPr>
        <w:spacing w:after="0" w:line="101" w:lineRule="exact"/>
        <w:rPr>
          <w:sz w:val="20"/>
          <w:szCs w:val="20"/>
          <w:color w:val="auto"/>
        </w:rPr>
      </w:pPr>
    </w:p>
    <w:p>
      <w:pPr>
        <w:ind w:right="40" w:firstLine="319"/>
        <w:spacing w:after="0" w:line="260" w:lineRule="auto"/>
        <w:rPr>
          <w:sz w:val="20"/>
          <w:szCs w:val="20"/>
          <w:color w:val="auto"/>
        </w:rPr>
      </w:pPr>
      <w:r>
        <w:rPr>
          <w:rFonts w:ascii="Times New Roman" w:cs="Times New Roman" w:eastAsia="Times New Roman" w:hAnsi="Times New Roman"/>
          <w:sz w:val="18"/>
          <w:szCs w:val="18"/>
          <w:color w:val="auto"/>
        </w:rPr>
        <w:t xml:space="preserve">The Company’s calculation of weighted-average common shares outstanding includes the Exchangeable Shares issued in connection with theScore acquisition, as discussed in </w:t>
      </w:r>
      <w:r>
        <w:rPr>
          <w:rFonts w:ascii="Times New Roman" w:cs="Times New Roman" w:eastAsia="Times New Roman" w:hAnsi="Times New Roman"/>
          <w:sz w:val="18"/>
          <w:szCs w:val="18"/>
          <w:u w:val="single" w:color="auto"/>
          <w:color w:val="0000FF"/>
        </w:rPr>
        <w:t>Note 10, “Stockholders’ Equity and Stock-Based Compensation.”</w:t>
      </w:r>
      <w:r>
        <w:rPr>
          <w:rFonts w:ascii="Times New Roman" w:cs="Times New Roman" w:eastAsia="Times New Roman" w:hAnsi="Times New Roman"/>
          <w:sz w:val="18"/>
          <w:szCs w:val="18"/>
          <w:color w:val="auto"/>
        </w:rPr>
        <w:t xml:space="preserve"> The following table presents the calculation of basic and diluted earnings (loss) per share for the Company’s common stock for the three and nine months ended September 30, 2026 and 2025:</w:t>
      </w: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40" w:type="dxa"/>
            <w:vAlign w:val="bottom"/>
            <w:gridSpan w:val="5"/>
          </w:tcPr>
          <w:p>
            <w:pPr>
              <w:ind w:left="140"/>
              <w:spacing w:after="0" w:line="195" w:lineRule="exact"/>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80" w:type="dxa"/>
            <w:vAlign w:val="bottom"/>
          </w:tcPr>
          <w:p>
            <w:pPr>
              <w:spacing w:after="0"/>
              <w:rPr>
                <w:sz w:val="17"/>
                <w:szCs w:val="17"/>
                <w:color w:val="auto"/>
              </w:rPr>
            </w:pPr>
          </w:p>
        </w:tc>
        <w:tc>
          <w:tcPr>
            <w:tcW w:w="2620" w:type="dxa"/>
            <w:vAlign w:val="bottom"/>
            <w:gridSpan w:val="4"/>
          </w:tcPr>
          <w:p>
            <w:pPr>
              <w:jc w:val="right"/>
              <w:ind w:right="351"/>
              <w:spacing w:after="0" w:line="195" w:lineRule="exact"/>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36"/>
        </w:trPr>
        <w:tc>
          <w:tcPr>
            <w:tcW w:w="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80" w:type="dxa"/>
            <w:vAlign w:val="bottom"/>
            <w:tcBorders>
              <w:bottom w:val="single" w:sz="8" w:color="auto"/>
            </w:tcBorders>
          </w:tcPr>
          <w:p>
            <w:pPr>
              <w:spacing w:after="0"/>
              <w:rPr>
                <w:sz w:val="20"/>
                <w:szCs w:val="20"/>
                <w:color w:val="auto"/>
              </w:rPr>
            </w:pPr>
          </w:p>
        </w:tc>
      </w:tr>
      <w:tr>
        <w:trPr>
          <w:trHeight w:val="182"/>
        </w:trPr>
        <w:tc>
          <w:tcPr>
            <w:tcW w:w="53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 share data)</w:t>
            </w:r>
          </w:p>
        </w:tc>
        <w:tc>
          <w:tcPr>
            <w:tcW w:w="260" w:type="dxa"/>
            <w:vAlign w:val="bottom"/>
          </w:tcPr>
          <w:p>
            <w:pPr>
              <w:spacing w:after="0"/>
              <w:rPr>
                <w:sz w:val="15"/>
                <w:szCs w:val="15"/>
                <w:color w:val="auto"/>
              </w:rPr>
            </w:pPr>
          </w:p>
        </w:tc>
        <w:tc>
          <w:tcPr>
            <w:tcW w:w="1140" w:type="dxa"/>
            <w:vAlign w:val="bottom"/>
          </w:tcPr>
          <w:p>
            <w:pPr>
              <w:jc w:val="right"/>
              <w:ind w:right="431"/>
              <w:spacing w:after="0" w:line="166" w:lineRule="exact"/>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jc w:val="right"/>
              <w:ind w:right="431"/>
              <w:spacing w:after="0" w:line="166" w:lineRule="exact"/>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right"/>
              <w:ind w:right="431"/>
              <w:spacing w:after="0" w:line="166" w:lineRule="exact"/>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jc w:val="right"/>
              <w:ind w:right="431"/>
              <w:spacing w:after="0" w:line="166" w:lineRule="exact"/>
              <w:rPr>
                <w:sz w:val="20"/>
                <w:szCs w:val="20"/>
                <w:color w:val="auto"/>
              </w:rPr>
            </w:pPr>
            <w:r>
              <w:rPr>
                <w:rFonts w:ascii="Times New Roman" w:cs="Times New Roman" w:eastAsia="Times New Roman" w:hAnsi="Times New Roman"/>
                <w:sz w:val="18"/>
                <w:szCs w:val="18"/>
                <w:b w:val="1"/>
                <w:bCs w:val="1"/>
                <w:color w:val="auto"/>
                <w:w w:val="94"/>
              </w:rPr>
              <w:t>2025</w:t>
            </w:r>
          </w:p>
        </w:tc>
      </w:tr>
      <w:tr>
        <w:trPr>
          <w:trHeight w:val="33"/>
        </w:trPr>
        <w:tc>
          <w:tcPr>
            <w:tcW w:w="20" w:type="dxa"/>
            <w:vAlign w:val="bottom"/>
            <w:tcBorders>
              <w:bottom w:val="single" w:sz="8" w:color="CCEEFF"/>
            </w:tcBorders>
          </w:tcPr>
          <w:p>
            <w:pPr>
              <w:spacing w:after="0"/>
              <w:rPr>
                <w:sz w:val="2"/>
                <w:szCs w:val="2"/>
                <w:color w:val="auto"/>
              </w:rPr>
            </w:pPr>
          </w:p>
        </w:tc>
        <w:tc>
          <w:tcPr>
            <w:tcW w:w="2040" w:type="dxa"/>
            <w:vAlign w:val="bottom"/>
            <w:tcBorders>
              <w:top w:val="single" w:sz="8" w:color="auto"/>
              <w:bottom w:val="single" w:sz="8" w:color="CCEEFF"/>
            </w:tcBorders>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9"/>
        </w:trPr>
        <w:tc>
          <w:tcPr>
            <w:tcW w:w="5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Calculation of basic earnings (loss) per share:</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9"/>
        </w:trPr>
        <w:tc>
          <w:tcPr>
            <w:tcW w:w="20" w:type="dxa"/>
            <w:vAlign w:val="bottom"/>
          </w:tcPr>
          <w:p>
            <w:pPr>
              <w:spacing w:after="0"/>
              <w:rPr>
                <w:sz w:val="20"/>
                <w:szCs w:val="20"/>
                <w:color w:val="auto"/>
              </w:rPr>
            </w:pPr>
          </w:p>
        </w:tc>
        <w:tc>
          <w:tcPr>
            <w:tcW w:w="5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Net income (loss) applicable to common stock</w:t>
            </w: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Pr>
          <w:p>
            <w:pPr>
              <w:spacing w:after="0"/>
              <w:rPr>
                <w:sz w:val="20"/>
                <w:szCs w:val="20"/>
                <w:color w:val="auto"/>
              </w:rPr>
            </w:pPr>
          </w:p>
        </w:tc>
        <w:tc>
          <w:tcPr>
            <w:tcW w:w="50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(864.6)</w:t>
            </w:r>
          </w:p>
        </w:tc>
        <w:tc>
          <w:tcPr>
            <w:tcW w:w="100" w:type="dxa"/>
            <w:vAlign w:val="bottom"/>
          </w:tcPr>
          <w:p>
            <w:pPr>
              <w:spacing w:after="0"/>
              <w:rPr>
                <w:sz w:val="20"/>
                <w:szCs w:val="20"/>
                <w:color w:val="auto"/>
              </w:rPr>
            </w:pP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tcPr>
          <w:p>
            <w:pPr>
              <w:spacing w:after="0"/>
              <w:rPr>
                <w:sz w:val="20"/>
                <w:szCs w:val="20"/>
                <w:color w:val="auto"/>
              </w:rPr>
            </w:pPr>
          </w:p>
        </w:tc>
        <w:tc>
          <w:tcPr>
            <w:tcW w:w="5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(770.2)</w:t>
            </w:r>
          </w:p>
        </w:tc>
      </w:tr>
      <w:tr>
        <w:trPr>
          <w:trHeight w:val="239"/>
        </w:trPr>
        <w:tc>
          <w:tcPr>
            <w:tcW w:w="20" w:type="dxa"/>
            <w:vAlign w:val="bottom"/>
            <w:shd w:val="clear" w:color="auto" w:fill="CCEEFF"/>
          </w:tcPr>
          <w:p>
            <w:pPr>
              <w:spacing w:after="0"/>
              <w:rPr>
                <w:sz w:val="20"/>
                <w:szCs w:val="20"/>
                <w:color w:val="auto"/>
              </w:rPr>
            </w:pPr>
          </w:p>
        </w:tc>
        <w:tc>
          <w:tcPr>
            <w:tcW w:w="5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Weighted-average shares outstanding — PENN Entertainment, Inc.</w:t>
            </w: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w:t>
            </w:r>
          </w:p>
        </w:tc>
      </w:tr>
      <w:tr>
        <w:trPr>
          <w:trHeight w:val="239"/>
        </w:trPr>
        <w:tc>
          <w:tcPr>
            <w:tcW w:w="20" w:type="dxa"/>
            <w:vAlign w:val="bottom"/>
            <w:tcBorders>
              <w:bottom w:val="single" w:sz="8" w:color="CCEEFF"/>
            </w:tcBorders>
          </w:tcPr>
          <w:p>
            <w:pPr>
              <w:spacing w:after="0"/>
              <w:rPr>
                <w:sz w:val="20"/>
                <w:szCs w:val="20"/>
                <w:color w:val="auto"/>
              </w:rPr>
            </w:pPr>
          </w:p>
        </w:tc>
        <w:tc>
          <w:tcPr>
            <w:tcW w:w="532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Weighted-average shares outstanding — Exchangeable Shares</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32"/>
        </w:trPr>
        <w:tc>
          <w:tcPr>
            <w:tcW w:w="20" w:type="dxa"/>
            <w:vAlign w:val="bottom"/>
            <w:shd w:val="clear" w:color="auto" w:fill="CCEEFF"/>
          </w:tcPr>
          <w:p>
            <w:pPr>
              <w:spacing w:after="0"/>
              <w:rPr>
                <w:sz w:val="20"/>
                <w:szCs w:val="20"/>
                <w:color w:val="auto"/>
              </w:rPr>
            </w:pPr>
          </w:p>
        </w:tc>
        <w:tc>
          <w:tcPr>
            <w:tcW w:w="5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Weighted-average common shares outstanding — basic</w:t>
            </w: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w:t>
            </w:r>
          </w:p>
        </w:tc>
      </w:tr>
      <w:tr>
        <w:trPr>
          <w:trHeight w:val="239"/>
        </w:trPr>
        <w:tc>
          <w:tcPr>
            <w:tcW w:w="5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tcPr>
          <w:p>
            <w:pPr>
              <w:spacing w:after="0"/>
              <w:rPr>
                <w:sz w:val="20"/>
                <w:szCs w:val="20"/>
                <w:color w:val="auto"/>
              </w:rPr>
            </w:pPr>
          </w:p>
        </w:tc>
        <w:tc>
          <w:tcPr>
            <w:tcW w:w="50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tcPr>
          <w:p>
            <w:pPr>
              <w:spacing w:after="0"/>
              <w:rPr>
                <w:sz w:val="20"/>
                <w:szCs w:val="20"/>
                <w:color w:val="auto"/>
              </w:rPr>
            </w:pP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100" w:type="dxa"/>
            <w:vAlign w:val="bottom"/>
          </w:tcPr>
          <w:p>
            <w:pPr>
              <w:spacing w:after="0"/>
              <w:rPr>
                <w:sz w:val="20"/>
                <w:szCs w:val="20"/>
                <w:color w:val="auto"/>
              </w:rPr>
            </w:pPr>
          </w:p>
        </w:tc>
        <w:tc>
          <w:tcPr>
            <w:tcW w:w="5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r>
      <w:tr>
        <w:trPr>
          <w:trHeight w:val="266"/>
        </w:trPr>
        <w:tc>
          <w:tcPr>
            <w:tcW w:w="20" w:type="dxa"/>
            <w:vAlign w:val="bottom"/>
            <w:shd w:val="clear" w:color="auto" w:fill="CCEEFF"/>
          </w:tcPr>
          <w:p>
            <w:pPr>
              <w:spacing w:after="0"/>
              <w:rPr>
                <w:sz w:val="23"/>
                <w:szCs w:val="23"/>
                <w:color w:val="auto"/>
              </w:rPr>
            </w:pPr>
          </w:p>
        </w:tc>
        <w:tc>
          <w:tcPr>
            <w:tcW w:w="2040" w:type="dxa"/>
            <w:vAlign w:val="bottom"/>
            <w:shd w:val="clear" w:color="auto" w:fill="CCEEFF"/>
          </w:tcPr>
          <w:p>
            <w:pPr>
              <w:spacing w:after="0"/>
              <w:rPr>
                <w:sz w:val="23"/>
                <w:szCs w:val="23"/>
                <w:color w:val="auto"/>
              </w:rPr>
            </w:pPr>
          </w:p>
        </w:tc>
        <w:tc>
          <w:tcPr>
            <w:tcW w:w="32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39"/>
        </w:trPr>
        <w:tc>
          <w:tcPr>
            <w:tcW w:w="5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Calculation of diluted earnings (loss) per share:</w:t>
            </w: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39"/>
        </w:trPr>
        <w:tc>
          <w:tcPr>
            <w:tcW w:w="20" w:type="dxa"/>
            <w:vAlign w:val="bottom"/>
            <w:shd w:val="clear" w:color="auto" w:fill="CCEEFF"/>
          </w:tcPr>
          <w:p>
            <w:pPr>
              <w:spacing w:after="0"/>
              <w:rPr>
                <w:sz w:val="20"/>
                <w:szCs w:val="20"/>
                <w:color w:val="auto"/>
              </w:rPr>
            </w:pPr>
          </w:p>
        </w:tc>
        <w:tc>
          <w:tcPr>
            <w:tcW w:w="5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income (loss) applicable to common stock</w:t>
            </w: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(770.2)</w:t>
            </w:r>
          </w:p>
        </w:tc>
      </w:tr>
      <w:tr>
        <w:trPr>
          <w:trHeight w:val="239"/>
        </w:trPr>
        <w:tc>
          <w:tcPr>
            <w:tcW w:w="20" w:type="dxa"/>
            <w:vAlign w:val="bottom"/>
          </w:tcPr>
          <w:p>
            <w:pPr>
              <w:spacing w:after="0"/>
              <w:rPr>
                <w:sz w:val="20"/>
                <w:szCs w:val="20"/>
                <w:color w:val="auto"/>
              </w:rPr>
            </w:pPr>
          </w:p>
        </w:tc>
        <w:tc>
          <w:tcPr>
            <w:tcW w:w="5320" w:type="dxa"/>
            <w:vAlign w:val="bottom"/>
            <w:gridSpan w:val="2"/>
          </w:tcPr>
          <w:p>
            <w:pPr>
              <w:ind w:left="200"/>
              <w:spacing w:after="0" w:line="239" w:lineRule="exact"/>
              <w:rPr>
                <w:sz w:val="20"/>
                <w:szCs w:val="20"/>
                <w:color w:val="auto"/>
              </w:rPr>
            </w:pPr>
            <w:r>
              <w:rPr>
                <w:rFonts w:ascii="Times New Roman" w:cs="Times New Roman" w:eastAsia="Times New Roman" w:hAnsi="Times New Roman"/>
                <w:sz w:val="18"/>
                <w:szCs w:val="18"/>
                <w:color w:val="auto"/>
              </w:rPr>
              <w:t xml:space="preserve">Interest expense, net of tax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39"/>
        </w:trPr>
        <w:tc>
          <w:tcPr>
            <w:tcW w:w="20" w:type="dxa"/>
            <w:vAlign w:val="bottom"/>
            <w:shd w:val="clear" w:color="auto" w:fill="CCEEFF"/>
          </w:tcPr>
          <w:p>
            <w:pPr>
              <w:spacing w:after="0"/>
              <w:rPr>
                <w:sz w:val="20"/>
                <w:szCs w:val="20"/>
                <w:color w:val="auto"/>
              </w:rPr>
            </w:pPr>
          </w:p>
        </w:tc>
        <w:tc>
          <w:tcPr>
            <w:tcW w:w="53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Convertible Notes</w:t>
            </w:r>
          </w:p>
        </w:tc>
        <w:tc>
          <w:tcPr>
            <w:tcW w:w="2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20" w:type="dxa"/>
            <w:vAlign w:val="bottom"/>
          </w:tcPr>
          <w:p>
            <w:pPr>
              <w:spacing w:after="0"/>
              <w:rPr>
                <w:sz w:val="20"/>
                <w:szCs w:val="20"/>
                <w:color w:val="auto"/>
              </w:rPr>
            </w:pPr>
          </w:p>
        </w:tc>
        <w:tc>
          <w:tcPr>
            <w:tcW w:w="5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Diluted income (loss) applicable to common stock</w:t>
            </w:r>
          </w:p>
        </w:tc>
        <w:tc>
          <w:tcPr>
            <w:tcW w:w="26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(770.2)</w:t>
            </w:r>
          </w:p>
        </w:tc>
      </w:tr>
      <w:tr>
        <w:trPr>
          <w:trHeight w:val="239"/>
        </w:trPr>
        <w:tc>
          <w:tcPr>
            <w:tcW w:w="20" w:type="dxa"/>
            <w:vAlign w:val="bottom"/>
            <w:shd w:val="clear" w:color="auto" w:fill="CCEEFF"/>
          </w:tcPr>
          <w:p>
            <w:pPr>
              <w:spacing w:after="0"/>
              <w:rPr>
                <w:sz w:val="20"/>
                <w:szCs w:val="20"/>
                <w:color w:val="auto"/>
              </w:rPr>
            </w:pPr>
          </w:p>
        </w:tc>
        <w:tc>
          <w:tcPr>
            <w:tcW w:w="5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Weighted-average common shares outstanding — diluted</w:t>
            </w: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w:t>
            </w:r>
          </w:p>
        </w:tc>
      </w:tr>
      <w:tr>
        <w:trPr>
          <w:trHeight w:val="240"/>
        </w:trPr>
        <w:tc>
          <w:tcPr>
            <w:tcW w:w="5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tcPr>
          <w:p>
            <w:pPr>
              <w:spacing w:after="0"/>
              <w:rPr>
                <w:sz w:val="20"/>
                <w:szCs w:val="20"/>
                <w:color w:val="auto"/>
              </w:rPr>
            </w:pPr>
          </w:p>
        </w:tc>
        <w:tc>
          <w:tcPr>
            <w:tcW w:w="50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tcPr>
          <w:p>
            <w:pPr>
              <w:spacing w:after="0"/>
              <w:rPr>
                <w:sz w:val="20"/>
                <w:szCs w:val="20"/>
                <w:color w:val="auto"/>
              </w:rPr>
            </w:pP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Pr>
          <w:p>
            <w:pPr>
              <w:spacing w:after="0"/>
              <w:rPr>
                <w:sz w:val="20"/>
                <w:szCs w:val="20"/>
                <w:color w:val="auto"/>
              </w:rPr>
            </w:pPr>
          </w:p>
        </w:tc>
        <w:tc>
          <w:tcPr>
            <w:tcW w:w="5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r>
    </w:tbl>
    <w:p>
      <w:pPr>
        <w:spacing w:after="0" w:line="123" w:lineRule="exact"/>
        <w:rPr>
          <w:sz w:val="20"/>
          <w:szCs w:val="20"/>
          <w:color w:val="auto"/>
        </w:rPr>
      </w:pPr>
    </w:p>
    <w:p>
      <w:pPr>
        <w:ind w:left="640" w:hanging="315"/>
        <w:spacing w:after="0"/>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tax-affected rate was 21% for the periods we recorded net income.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12—Fair Value Measurements</w:t>
      </w:r>
    </w:p>
    <w:p>
      <w:pPr>
        <w:spacing w:after="0" w:line="180" w:lineRule="exact"/>
        <w:rPr>
          <w:sz w:val="20"/>
          <w:szCs w:val="20"/>
          <w:color w:val="auto"/>
        </w:rPr>
      </w:pPr>
    </w:p>
    <w:p>
      <w:pPr>
        <w:ind w:right="40" w:firstLine="319"/>
        <w:spacing w:after="0" w:line="275" w:lineRule="auto"/>
        <w:rPr>
          <w:sz w:val="20"/>
          <w:szCs w:val="20"/>
          <w:color w:val="auto"/>
        </w:rPr>
      </w:pPr>
      <w:r>
        <w:rPr>
          <w:rFonts w:ascii="Times New Roman" w:cs="Times New Roman" w:eastAsia="Times New Roman" w:hAnsi="Times New Roman"/>
          <w:sz w:val="18"/>
          <w:szCs w:val="18"/>
          <w:color w:val="auto"/>
        </w:rPr>
        <w:t>ASC Topic 820, “Fair Value Measurements and Disclosures,” establishes a hierarchy that prioritizes fair value measurements based on the types of inputs used for the various valuation techniques (market approach, income approach, and cost approach). The levels of the hierarchy are described below:</w:t>
      </w:r>
    </w:p>
    <w:p>
      <w:pPr>
        <w:spacing w:after="0" w:line="123" w:lineRule="exact"/>
        <w:rPr>
          <w:sz w:val="20"/>
          <w:szCs w:val="20"/>
          <w:color w:val="auto"/>
        </w:rPr>
      </w:pPr>
    </w:p>
    <w:p>
      <w:pPr>
        <w:ind w:left="640" w:hanging="315"/>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Observable inputs such as quoted prices in active markets for identical assets or liabilities.</w:t>
      </w:r>
    </w:p>
    <w:p>
      <w:pPr>
        <w:spacing w:after="0" w:line="58" w:lineRule="exact"/>
        <w:rPr>
          <w:rFonts w:ascii="Times New Roman" w:cs="Times New Roman" w:eastAsia="Times New Roman" w:hAnsi="Times New Roman"/>
          <w:sz w:val="18"/>
          <w:szCs w:val="18"/>
          <w:color w:val="auto"/>
        </w:rPr>
      </w:pPr>
    </w:p>
    <w:p>
      <w:pPr>
        <w:ind w:left="640" w:right="460" w:hanging="315"/>
        <w:spacing w:after="0" w:line="275"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other than quoted prices that are observable for the asset or liability, either directly or indirectly; these include quoted prices for similar assets or liabilities in active markets, such as interest rates and yield curves that are observable at commonly quoted intervals.</w:t>
      </w:r>
    </w:p>
    <w:p>
      <w:pPr>
        <w:spacing w:after="0" w:line="3"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that reflect the reporting entity’s own assumptions, as there is little, if any, related market activity.</w:t>
      </w:r>
    </w:p>
    <w:p>
      <w:pPr>
        <w:spacing w:after="0" w:line="191" w:lineRule="exact"/>
        <w:rPr>
          <w:sz w:val="20"/>
          <w:szCs w:val="20"/>
          <w:color w:val="auto"/>
        </w:rPr>
      </w:pPr>
    </w:p>
    <w:p>
      <w:pPr>
        <w:ind w:right="260" w:firstLine="319"/>
        <w:spacing w:after="0" w:line="255" w:lineRule="auto"/>
        <w:rPr>
          <w:sz w:val="20"/>
          <w:szCs w:val="20"/>
          <w:color w:val="auto"/>
        </w:rPr>
      </w:pPr>
      <w:r>
        <w:rPr>
          <w:rFonts w:ascii="Times New Roman" w:cs="Times New Roman" w:eastAsia="Times New Roman" w:hAnsi="Times New Roman"/>
          <w:sz w:val="18"/>
          <w:szCs w:val="18"/>
          <w:color w:val="auto"/>
        </w:rPr>
        <w:t>The Company’s assessment of the significance of a particular input to the fair value measurement requires judgment and may affect the valuation of assets and liabilities and their placement within the fair value hierarchy. The following methods and assumptions are used to estimate the fair value of each class of financial instruments for which it is practicable to estimate fair value. The fair value of the Company’s trade accounts receivable and payable approximates the carrying amounts.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179705</wp:posOffset>
            </wp:positionV>
            <wp:extent cx="716026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195" w:lineRule="exact"/>
        <w:rPr>
          <w:sz w:val="20"/>
          <w:szCs w:val="20"/>
          <w:color w:val="auto"/>
        </w:rPr>
      </w:pPr>
    </w:p>
    <w:p>
      <w:pPr>
        <w:ind w:right="620" w:firstLine="319"/>
        <w:spacing w:after="0" w:line="305" w:lineRule="auto"/>
        <w:rPr>
          <w:sz w:val="20"/>
          <w:szCs w:val="20"/>
          <w:color w:val="auto"/>
        </w:rPr>
      </w:pPr>
      <w:r>
        <w:rPr>
          <w:rFonts w:ascii="Times New Roman" w:cs="Times New Roman" w:eastAsia="Times New Roman" w:hAnsi="Times New Roman"/>
          <w:sz w:val="17"/>
          <w:szCs w:val="17"/>
          <w:color w:val="auto"/>
        </w:rPr>
        <w:t xml:space="preserve">On March 16, 2026, the Company issued $600.0 million of unsecured notes due 2031 at an interest rate of 6.75%. Additionally, in May 2026, the Company repaid the remaining $106.7 million principal balance of the Convertible Notes. See </w:t>
      </w:r>
      <w:r>
        <w:rPr>
          <w:rFonts w:ascii="Times New Roman" w:cs="Times New Roman" w:eastAsia="Times New Roman" w:hAnsi="Times New Roman"/>
          <w:sz w:val="17"/>
          <w:szCs w:val="17"/>
          <w:u w:val="single" w:color="auto"/>
          <w:color w:val="0000FF"/>
        </w:rPr>
        <w:t>Note 5, “Long-Term Debt”</w:t>
      </w:r>
      <w:r>
        <w:rPr>
          <w:rFonts w:ascii="Times New Roman" w:cs="Times New Roman" w:eastAsia="Times New Roman" w:hAnsi="Times New Roman"/>
          <w:sz w:val="17"/>
          <w:szCs w:val="17"/>
          <w:color w:val="auto"/>
        </w:rPr>
        <w:t xml:space="preserve"> for more information.</w:t>
      </w:r>
    </w:p>
    <w:p>
      <w:pPr>
        <w:spacing w:after="0" w:line="101" w:lineRule="exact"/>
        <w:rPr>
          <w:sz w:val="20"/>
          <w:szCs w:val="20"/>
          <w:color w:val="auto"/>
        </w:rPr>
      </w:pPr>
    </w:p>
    <w:p>
      <w:pPr>
        <w:ind w:right="340" w:firstLine="319"/>
        <w:spacing w:after="0" w:line="275" w:lineRule="auto"/>
        <w:rPr>
          <w:sz w:val="20"/>
          <w:szCs w:val="20"/>
          <w:color w:val="auto"/>
        </w:rPr>
      </w:pPr>
      <w:r>
        <w:rPr>
          <w:rFonts w:ascii="Times New Roman" w:cs="Times New Roman" w:eastAsia="Times New Roman" w:hAnsi="Times New Roman"/>
          <w:sz w:val="18"/>
          <w:szCs w:val="18"/>
          <w:color w:val="auto"/>
        </w:rPr>
        <w:t>The fair value of our Amended Credit Facilities, 5.625% Notes, 4.125% Notes, 6.75% Notes, and the Convertible Notes is estimated based on quoted prices in active markets. Due to their trading frequency, these long-term debt instruments are classified as Level 2 measurements.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Liability</w:t>
      </w:r>
    </w:p>
    <w:p>
      <w:pPr>
        <w:spacing w:after="0" w:line="195" w:lineRule="exact"/>
        <w:rPr>
          <w:sz w:val="20"/>
          <w:szCs w:val="20"/>
          <w:color w:val="auto"/>
        </w:rPr>
      </w:pPr>
    </w:p>
    <w:p>
      <w:pPr>
        <w:ind w:firstLine="319"/>
        <w:spacing w:after="0" w:line="253" w:lineRule="auto"/>
        <w:rPr>
          <w:sz w:val="20"/>
          <w:szCs w:val="20"/>
          <w:color w:val="auto"/>
        </w:rPr>
      </w:pPr>
      <w:r>
        <w:rPr>
          <w:rFonts w:ascii="Times New Roman" w:cs="Times New Roman" w:eastAsia="Times New Roman" w:hAnsi="Times New Roman"/>
          <w:sz w:val="18"/>
          <w:szCs w:val="18"/>
          <w:color w:val="auto"/>
        </w:rPr>
        <w:t xml:space="preserve">As of September 30, 2026 and December 31, 2025, other liabilities include a tax indemnification balance of $38.7 million and $39.5 million, respectively, as described in </w:t>
      </w:r>
      <w:r>
        <w:rPr>
          <w:rFonts w:ascii="Times New Roman" w:cs="Times New Roman" w:eastAsia="Times New Roman" w:hAnsi="Times New Roman"/>
          <w:sz w:val="18"/>
          <w:szCs w:val="18"/>
          <w:u w:val="single" w:color="auto"/>
          <w:color w:val="0000FF"/>
        </w:rPr>
        <w:t>Note 9, “Commitments and Contingencies.”</w:t>
      </w:r>
      <w:r>
        <w:rPr>
          <w:rFonts w:ascii="Times New Roman" w:cs="Times New Roman" w:eastAsia="Times New Roman" w:hAnsi="Times New Roman"/>
          <w:sz w:val="18"/>
          <w:szCs w:val="18"/>
          <w:color w:val="auto"/>
        </w:rPr>
        <w:t xml:space="preserve"> Liabilities associated with the indemnification are recorded in “Other long-term liabilities” within the unaudited Consolidated Balance Sheets. The indemnity has been classified as a Level 3 measurement. Key assumptions used to estimate the fair value of the indemnification include the expected tax rate and the probability of potential outcomes based on valuation methods that utilize unobservable inputs that are significant to the overall fair value as of September 30, 2026 and December 31, 2025.</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Available-for-Sale Debt Securities</w:t>
      </w:r>
    </w:p>
    <w:p>
      <w:pPr>
        <w:spacing w:after="0" w:line="182" w:lineRule="exact"/>
        <w:rPr>
          <w:sz w:val="20"/>
          <w:szCs w:val="20"/>
          <w:color w:val="auto"/>
        </w:rPr>
      </w:pPr>
    </w:p>
    <w:p>
      <w:pPr>
        <w:ind w:right="20" w:firstLine="319"/>
        <w:spacing w:after="0" w:line="253" w:lineRule="auto"/>
        <w:rPr>
          <w:sz w:val="20"/>
          <w:szCs w:val="20"/>
          <w:color w:val="auto"/>
        </w:rPr>
      </w:pPr>
      <w:r>
        <w:rPr>
          <w:rFonts w:ascii="Times New Roman" w:cs="Times New Roman" w:eastAsia="Times New Roman" w:hAnsi="Times New Roman"/>
          <w:sz w:val="18"/>
          <w:szCs w:val="18"/>
          <w:color w:val="auto"/>
        </w:rPr>
        <w:t>The Company acquired 12.0% secured convertible notes in a third-party technology provider on April 7, 2023 for $20.0 million, due on the third-year anniversary of the date of issuance. On February 2, 2026, the Company amended the terms of the convertible notes to extend the maturity date to March 2029. As of both periods ended September 30, 2026 and December 31, 2025, the balance of the convertible notes was $26.4 million, which is reported in “Other assets” within our unaudited Consolidated Balance Sheets. The fair value of the convertible notes was determined using valuation models that utilize Level 3 measurements.</w:t>
      </w:r>
    </w:p>
    <w:p>
      <w:pPr>
        <w:spacing w:after="0" w:line="1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carrying amounts and estimated fair values by input level of the Company’s financial instruments were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September 30, 2026</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jc w:val="center"/>
              <w:ind w:right="340"/>
              <w:spacing w:after="0" w:line="179"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120" w:type="dxa"/>
            <w:vAlign w:val="bottom"/>
          </w:tcPr>
          <w:p>
            <w:pPr>
              <w:spacing w:after="0"/>
              <w:rPr>
                <w:sz w:val="15"/>
                <w:szCs w:val="15"/>
                <w:color w:val="auto"/>
              </w:rPr>
            </w:pPr>
          </w:p>
        </w:tc>
        <w:tc>
          <w:tcPr>
            <w:tcW w:w="1260" w:type="dxa"/>
            <w:vAlign w:val="bottom"/>
            <w:vMerge w:val="restart"/>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260" w:type="dxa"/>
            <w:vAlign w:val="bottom"/>
          </w:tcPr>
          <w:p>
            <w:pPr>
              <w:spacing w:after="0"/>
              <w:rPr>
                <w:sz w:val="15"/>
                <w:szCs w:val="15"/>
                <w:color w:val="auto"/>
              </w:rPr>
            </w:pPr>
          </w:p>
        </w:tc>
        <w:tc>
          <w:tcPr>
            <w:tcW w:w="12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60" w:type="dxa"/>
            <w:vAlign w:val="bottom"/>
          </w:tcPr>
          <w:p>
            <w:pPr>
              <w:spacing w:after="0"/>
              <w:rPr>
                <w:sz w:val="15"/>
                <w:szCs w:val="15"/>
                <w:color w:val="auto"/>
              </w:rPr>
            </w:pPr>
          </w:p>
        </w:tc>
        <w:tc>
          <w:tcPr>
            <w:tcW w:w="1120" w:type="dxa"/>
            <w:vAlign w:val="bottom"/>
            <w:vMerge w:val="restart"/>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186"/>
        </w:trPr>
        <w:tc>
          <w:tcPr>
            <w:tcW w:w="38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20" w:type="dxa"/>
            <w:vAlign w:val="bottom"/>
          </w:tcPr>
          <w:p>
            <w:pPr>
              <w:spacing w:after="0"/>
              <w:rPr>
                <w:sz w:val="16"/>
                <w:szCs w:val="16"/>
                <w:color w:val="auto"/>
              </w:rPr>
            </w:pPr>
          </w:p>
        </w:tc>
        <w:tc>
          <w:tcPr>
            <w:tcW w:w="1280" w:type="dxa"/>
            <w:vAlign w:val="bottom"/>
            <w:gridSpan w:val="2"/>
          </w:tcPr>
          <w:p>
            <w:pPr>
              <w:jc w:val="center"/>
              <w:ind w:right="340"/>
              <w:spacing w:after="0" w:line="166" w:lineRule="exact"/>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3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3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8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1,044.8</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1,044.8</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1,044.8</w:t>
            </w:r>
          </w:p>
        </w:tc>
        <w:tc>
          <w:tcPr>
            <w:tcW w:w="100" w:type="dxa"/>
            <w:vAlign w:val="bottom"/>
          </w:tcPr>
          <w:p>
            <w:pPr>
              <w:spacing w:after="0"/>
              <w:rPr>
                <w:sz w:val="20"/>
                <w:szCs w:val="20"/>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20" w:type="dxa"/>
            <w:vAlign w:val="bottom"/>
            <w:shd w:val="clear" w:color="auto" w:fill="CCEEFF"/>
          </w:tcPr>
          <w:p>
            <w:pPr>
              <w:spacing w:after="0"/>
              <w:rPr>
                <w:sz w:val="20"/>
                <w:szCs w:val="20"/>
                <w:color w:val="auto"/>
              </w:rPr>
            </w:pPr>
          </w:p>
        </w:tc>
        <w:tc>
          <w:tcPr>
            <w:tcW w:w="3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Available-for-sale debt securities</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8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Held-to-maturity securities</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0"/>
                <w:szCs w:val="20"/>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20" w:type="dxa"/>
            <w:vAlign w:val="bottom"/>
            <w:shd w:val="clear" w:color="auto" w:fill="CCEEFF"/>
          </w:tcPr>
          <w:p>
            <w:pPr>
              <w:spacing w:after="0"/>
              <w:rPr>
                <w:sz w:val="20"/>
                <w:szCs w:val="20"/>
                <w:color w:val="auto"/>
              </w:rPr>
            </w:pPr>
          </w:p>
        </w:tc>
        <w:tc>
          <w:tcPr>
            <w:tcW w:w="3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Promissory notes</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38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0" w:type="dxa"/>
            <w:vAlign w:val="bottom"/>
            <w:shd w:val="clear" w:color="auto" w:fill="CCEEFF"/>
          </w:tcPr>
          <w:p>
            <w:pPr>
              <w:spacing w:after="0"/>
              <w:rPr>
                <w:sz w:val="20"/>
                <w:szCs w:val="20"/>
                <w:color w:val="auto"/>
              </w:rPr>
            </w:pPr>
          </w:p>
        </w:tc>
        <w:tc>
          <w:tcPr>
            <w:tcW w:w="3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8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Amended Credit Facilities</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1,372.8</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1,387.4</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1,387.4</w:t>
            </w:r>
          </w:p>
        </w:tc>
        <w:tc>
          <w:tcPr>
            <w:tcW w:w="100" w:type="dxa"/>
            <w:vAlign w:val="bottom"/>
          </w:tcPr>
          <w:p>
            <w:pPr>
              <w:spacing w:after="0"/>
              <w:rPr>
                <w:sz w:val="20"/>
                <w:szCs w:val="20"/>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20" w:type="dxa"/>
            <w:vAlign w:val="bottom"/>
            <w:shd w:val="clear" w:color="auto" w:fill="CCEEFF"/>
          </w:tcPr>
          <w:p>
            <w:pPr>
              <w:spacing w:after="0"/>
              <w:rPr>
                <w:sz w:val="20"/>
                <w:szCs w:val="20"/>
                <w:color w:val="auto"/>
              </w:rPr>
            </w:pPr>
          </w:p>
        </w:tc>
        <w:tc>
          <w:tcPr>
            <w:tcW w:w="38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5.625% Notes</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8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4.125% Notes</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00" w:type="dxa"/>
            <w:vAlign w:val="bottom"/>
          </w:tcPr>
          <w:p>
            <w:pPr>
              <w:spacing w:after="0"/>
              <w:rPr>
                <w:sz w:val="20"/>
                <w:szCs w:val="20"/>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20" w:type="dxa"/>
            <w:vAlign w:val="bottom"/>
            <w:shd w:val="clear" w:color="auto" w:fill="CCEEFF"/>
          </w:tcPr>
          <w:p>
            <w:pPr>
              <w:spacing w:after="0"/>
              <w:rPr>
                <w:sz w:val="20"/>
                <w:szCs w:val="20"/>
                <w:color w:val="auto"/>
              </w:rPr>
            </w:pPr>
          </w:p>
        </w:tc>
        <w:tc>
          <w:tcPr>
            <w:tcW w:w="38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6.75% Notes</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574.5</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8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Other long-term obligations</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0"/>
                <w:szCs w:val="20"/>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20" w:type="dxa"/>
            <w:vAlign w:val="bottom"/>
            <w:shd w:val="clear" w:color="auto" w:fill="CCEEFF"/>
          </w:tcPr>
          <w:p>
            <w:pPr>
              <w:spacing w:after="0"/>
              <w:rPr>
                <w:sz w:val="20"/>
                <w:szCs w:val="20"/>
                <w:color w:val="auto"/>
              </w:rPr>
            </w:pPr>
          </w:p>
        </w:tc>
        <w:tc>
          <w:tcPr>
            <w:tcW w:w="3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83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jc w:val="right"/>
              <w:ind w:right="951"/>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center"/>
              <w:ind w:right="340"/>
              <w:spacing w:after="0" w:line="185"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200" w:type="dxa"/>
            <w:vAlign w:val="bottom"/>
          </w:tcPr>
          <w:p>
            <w:pPr>
              <w:spacing w:after="0"/>
              <w:rPr>
                <w:sz w:val="16"/>
                <w:szCs w:val="16"/>
                <w:color w:val="auto"/>
              </w:rPr>
            </w:pPr>
          </w:p>
        </w:tc>
        <w:tc>
          <w:tcPr>
            <w:tcW w:w="1180" w:type="dxa"/>
            <w:vAlign w:val="bottom"/>
            <w:vMerge w:val="restart"/>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280" w:type="dxa"/>
            <w:vAlign w:val="bottom"/>
          </w:tcPr>
          <w:p>
            <w:pPr>
              <w:spacing w:after="0"/>
              <w:rPr>
                <w:sz w:val="16"/>
                <w:szCs w:val="16"/>
                <w:color w:val="auto"/>
              </w:rPr>
            </w:pPr>
          </w:p>
        </w:tc>
        <w:tc>
          <w:tcPr>
            <w:tcW w:w="12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80" w:type="dxa"/>
            <w:vAlign w:val="bottom"/>
          </w:tcPr>
          <w:p>
            <w:pPr>
              <w:spacing w:after="0"/>
              <w:rPr>
                <w:sz w:val="16"/>
                <w:szCs w:val="16"/>
                <w:color w:val="auto"/>
              </w:rPr>
            </w:pPr>
          </w:p>
        </w:tc>
        <w:tc>
          <w:tcPr>
            <w:tcW w:w="1120" w:type="dxa"/>
            <w:vAlign w:val="bottom"/>
            <w:vMerge w:val="restart"/>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180"/>
        </w:trPr>
        <w:tc>
          <w:tcPr>
            <w:tcW w:w="388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20" w:type="dxa"/>
            <w:vAlign w:val="bottom"/>
          </w:tcPr>
          <w:p>
            <w:pPr>
              <w:spacing w:after="0"/>
              <w:rPr>
                <w:sz w:val="15"/>
                <w:szCs w:val="15"/>
                <w:color w:val="auto"/>
              </w:rPr>
            </w:pPr>
          </w:p>
        </w:tc>
        <w:tc>
          <w:tcPr>
            <w:tcW w:w="128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8"/>
                <w:szCs w:val="18"/>
                <w:b w:val="1"/>
                <w:bCs w:val="1"/>
                <w:color w:val="auto"/>
                <w:w w:val="98"/>
              </w:rPr>
              <w:t>Amount</w:t>
            </w:r>
          </w:p>
        </w:tc>
        <w:tc>
          <w:tcPr>
            <w:tcW w:w="20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3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3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8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686.6</w:t>
            </w:r>
          </w:p>
        </w:tc>
        <w:tc>
          <w:tcPr>
            <w:tcW w:w="120" w:type="dxa"/>
            <w:vAlign w:val="bottom"/>
          </w:tcPr>
          <w:p>
            <w:pPr>
              <w:spacing w:after="0"/>
              <w:rPr>
                <w:sz w:val="20"/>
                <w:szCs w:val="20"/>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686.6</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686.6</w:t>
            </w:r>
          </w:p>
        </w:tc>
        <w:tc>
          <w:tcPr>
            <w:tcW w:w="100" w:type="dxa"/>
            <w:vAlign w:val="bottom"/>
          </w:tcPr>
          <w:p>
            <w:pPr>
              <w:spacing w:after="0"/>
              <w:rPr>
                <w:sz w:val="20"/>
                <w:szCs w:val="20"/>
                <w:color w:val="auto"/>
              </w:rPr>
            </w:pP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20" w:type="dxa"/>
            <w:vAlign w:val="bottom"/>
            <w:shd w:val="clear" w:color="auto" w:fill="CCEEFF"/>
          </w:tcPr>
          <w:p>
            <w:pPr>
              <w:spacing w:after="0"/>
              <w:rPr>
                <w:sz w:val="20"/>
                <w:szCs w:val="20"/>
                <w:color w:val="auto"/>
              </w:rPr>
            </w:pPr>
          </w:p>
        </w:tc>
        <w:tc>
          <w:tcPr>
            <w:tcW w:w="3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Available-for-sale debt securities</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8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Held-to-maturity securities</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20"/>
                <w:szCs w:val="20"/>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0"/>
                <w:szCs w:val="20"/>
                <w:color w:val="auto"/>
              </w:rPr>
            </w:pP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20" w:type="dxa"/>
            <w:vAlign w:val="bottom"/>
            <w:shd w:val="clear" w:color="auto" w:fill="CCEEFF"/>
          </w:tcPr>
          <w:p>
            <w:pPr>
              <w:spacing w:after="0"/>
              <w:rPr>
                <w:sz w:val="20"/>
                <w:szCs w:val="20"/>
                <w:color w:val="auto"/>
              </w:rPr>
            </w:pPr>
          </w:p>
        </w:tc>
        <w:tc>
          <w:tcPr>
            <w:tcW w:w="3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Promissory notes</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38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0" w:type="dxa"/>
            <w:vAlign w:val="bottom"/>
            <w:shd w:val="clear" w:color="auto" w:fill="CCEEFF"/>
          </w:tcPr>
          <w:p>
            <w:pPr>
              <w:spacing w:after="0"/>
              <w:rPr>
                <w:sz w:val="20"/>
                <w:szCs w:val="20"/>
                <w:color w:val="auto"/>
              </w:rPr>
            </w:pPr>
          </w:p>
        </w:tc>
        <w:tc>
          <w:tcPr>
            <w:tcW w:w="3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8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Amended Credit Facilities</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1,975.8</w:t>
            </w:r>
          </w:p>
        </w:tc>
        <w:tc>
          <w:tcPr>
            <w:tcW w:w="120" w:type="dxa"/>
            <w:vAlign w:val="bottom"/>
          </w:tcPr>
          <w:p>
            <w:pPr>
              <w:spacing w:after="0"/>
              <w:rPr>
                <w:sz w:val="20"/>
                <w:szCs w:val="20"/>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1,993.0</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1,993.0</w:t>
            </w:r>
          </w:p>
        </w:tc>
        <w:tc>
          <w:tcPr>
            <w:tcW w:w="100" w:type="dxa"/>
            <w:vAlign w:val="bottom"/>
          </w:tcPr>
          <w:p>
            <w:pPr>
              <w:spacing w:after="0"/>
              <w:rPr>
                <w:sz w:val="20"/>
                <w:szCs w:val="20"/>
                <w:color w:val="auto"/>
              </w:rPr>
            </w:pP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20" w:type="dxa"/>
            <w:vAlign w:val="bottom"/>
            <w:shd w:val="clear" w:color="auto" w:fill="CCEEFF"/>
          </w:tcPr>
          <w:p>
            <w:pPr>
              <w:spacing w:after="0"/>
              <w:rPr>
                <w:sz w:val="20"/>
                <w:szCs w:val="20"/>
                <w:color w:val="auto"/>
              </w:rPr>
            </w:pPr>
          </w:p>
        </w:tc>
        <w:tc>
          <w:tcPr>
            <w:tcW w:w="38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5.625% Notes</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8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4.125% Notes</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396.4</w:t>
            </w:r>
          </w:p>
        </w:tc>
        <w:tc>
          <w:tcPr>
            <w:tcW w:w="120" w:type="dxa"/>
            <w:vAlign w:val="bottom"/>
          </w:tcPr>
          <w:p>
            <w:pPr>
              <w:spacing w:after="0"/>
              <w:rPr>
                <w:sz w:val="20"/>
                <w:szCs w:val="20"/>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368.0</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368.0</w:t>
            </w:r>
          </w:p>
        </w:tc>
        <w:tc>
          <w:tcPr>
            <w:tcW w:w="100" w:type="dxa"/>
            <w:vAlign w:val="bottom"/>
          </w:tcPr>
          <w:p>
            <w:pPr>
              <w:spacing w:after="0"/>
              <w:rPr>
                <w:sz w:val="20"/>
                <w:szCs w:val="20"/>
                <w:color w:val="auto"/>
              </w:rPr>
            </w:pP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20" w:type="dxa"/>
            <w:vAlign w:val="bottom"/>
            <w:shd w:val="clear" w:color="auto" w:fill="CCEEFF"/>
          </w:tcPr>
          <w:p>
            <w:pPr>
              <w:spacing w:after="0"/>
              <w:rPr>
                <w:sz w:val="20"/>
                <w:szCs w:val="20"/>
                <w:color w:val="auto"/>
              </w:rPr>
            </w:pPr>
          </w:p>
        </w:tc>
        <w:tc>
          <w:tcPr>
            <w:tcW w:w="38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Convertible Notes</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8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Other long-term obligations</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20"/>
                <w:szCs w:val="20"/>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0"/>
                <w:szCs w:val="20"/>
                <w:color w:val="auto"/>
              </w:rPr>
            </w:pP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20" w:type="dxa"/>
            <w:vAlign w:val="bottom"/>
            <w:shd w:val="clear" w:color="auto" w:fill="CCEEFF"/>
          </w:tcPr>
          <w:p>
            <w:pPr>
              <w:spacing w:after="0"/>
              <w:rPr>
                <w:sz w:val="20"/>
                <w:szCs w:val="20"/>
                <w:color w:val="auto"/>
              </w:rPr>
            </w:pPr>
          </w:p>
        </w:tc>
        <w:tc>
          <w:tcPr>
            <w:tcW w:w="3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bl>
    <w:p>
      <w:pPr>
        <w:spacing w:after="0" w:line="247" w:lineRule="exact"/>
        <w:rPr>
          <w:sz w:val="20"/>
          <w:szCs w:val="20"/>
          <w:color w:val="auto"/>
        </w:rPr>
      </w:pPr>
    </w:p>
    <w:p>
      <w:pPr>
        <w:jc w:val="both"/>
        <w:ind w:right="20" w:firstLine="319"/>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significant unobservable inputs used in calculating fair value for our Level 3 assets and liabilities on a recurring basis as of September 30, 2026:</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820" w:type="dxa"/>
            <w:vAlign w:val="bottom"/>
            <w:tcBorders>
              <w:bottom w:val="single" w:sz="8" w:color="CCEEFF"/>
            </w:tcBorders>
          </w:tcPr>
          <w:p>
            <w:pPr>
              <w:spacing w:after="0"/>
              <w:rPr>
                <w:sz w:val="20"/>
                <w:szCs w:val="20"/>
                <w:color w:val="auto"/>
              </w:rPr>
            </w:pPr>
          </w:p>
        </w:tc>
        <w:tc>
          <w:tcPr>
            <w:tcW w:w="23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Valuation Technique</w:t>
            </w:r>
          </w:p>
        </w:tc>
        <w:tc>
          <w:tcPr>
            <w:tcW w:w="120" w:type="dxa"/>
            <w:vAlign w:val="bottom"/>
            <w:tcBorders>
              <w:bottom w:val="single" w:sz="8" w:color="CCEEFF"/>
            </w:tcBorders>
          </w:tcPr>
          <w:p>
            <w:pPr>
              <w:spacing w:after="0"/>
              <w:rPr>
                <w:sz w:val="20"/>
                <w:szCs w:val="20"/>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Unobservable Input</w:t>
            </w:r>
          </w:p>
        </w:tc>
        <w:tc>
          <w:tcPr>
            <w:tcW w:w="100" w:type="dxa"/>
            <w:vAlign w:val="bottom"/>
            <w:tcBorders>
              <w:bottom w:val="single" w:sz="8" w:color="CCEEFF"/>
            </w:tcBorders>
          </w:tcPr>
          <w:p>
            <w:pPr>
              <w:spacing w:after="0"/>
              <w:rPr>
                <w:sz w:val="20"/>
                <w:szCs w:val="20"/>
                <w:color w:val="auto"/>
              </w:rPr>
            </w:pPr>
          </w:p>
        </w:tc>
        <w:tc>
          <w:tcPr>
            <w:tcW w:w="17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Discount Rate</w:t>
            </w:r>
          </w:p>
        </w:tc>
      </w:tr>
      <w:tr>
        <w:trPr>
          <w:trHeight w:val="232"/>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debt securities</w:t>
            </w:r>
          </w:p>
        </w:tc>
        <w:tc>
          <w:tcPr>
            <w:tcW w:w="25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Discounted cash flow</w:t>
            </w:r>
          </w:p>
        </w:tc>
        <w:tc>
          <w:tcPr>
            <w:tcW w:w="21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Discount rate</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32.5 %</w:t>
            </w: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13—Segment Information</w:t>
      </w:r>
    </w:p>
    <w:p>
      <w:pPr>
        <w:spacing w:after="0" w:line="180" w:lineRule="exact"/>
        <w:rPr>
          <w:sz w:val="20"/>
          <w:szCs w:val="20"/>
          <w:color w:val="auto"/>
        </w:rPr>
      </w:pPr>
    </w:p>
    <w:p>
      <w:pPr>
        <w:ind w:right="540" w:firstLine="319"/>
        <w:spacing w:after="0" w:line="260" w:lineRule="auto"/>
        <w:rPr>
          <w:sz w:val="20"/>
          <w:szCs w:val="20"/>
          <w:color w:val="auto"/>
        </w:rPr>
      </w:pPr>
      <w:r>
        <w:rPr>
          <w:rFonts w:ascii="Times New Roman" w:cs="Times New Roman" w:eastAsia="Times New Roman" w:hAnsi="Times New Roman"/>
          <w:sz w:val="18"/>
          <w:szCs w:val="18"/>
          <w:color w:val="auto"/>
        </w:rPr>
        <w:t>We have five reportable segments: Northeast, South, West, Midwest, and Interactive. Our gaming and racing properties are grouped by geographic location, and each is viewed as an operating segment with the exception of our two properties in Jackpot, Nevada, which are viewed as one operating segment. We consider our combined VGT operations, by state, to be separate operating segments.</w:t>
      </w:r>
    </w:p>
    <w:p>
      <w:pPr>
        <w:spacing w:after="0" w:line="137" w:lineRule="exact"/>
        <w:rPr>
          <w:sz w:val="20"/>
          <w:szCs w:val="20"/>
          <w:color w:val="auto"/>
        </w:rPr>
      </w:pPr>
    </w:p>
    <w:p>
      <w:pPr>
        <w:ind w:right="140" w:firstLine="319"/>
        <w:spacing w:after="0" w:line="260" w:lineRule="auto"/>
        <w:rPr>
          <w:sz w:val="20"/>
          <w:szCs w:val="20"/>
          <w:color w:val="auto"/>
        </w:rPr>
      </w:pPr>
      <w:r>
        <w:rPr>
          <w:rFonts w:ascii="Times New Roman" w:cs="Times New Roman" w:eastAsia="Times New Roman" w:hAnsi="Times New Roman"/>
          <w:sz w:val="18"/>
          <w:szCs w:val="18"/>
          <w:color w:val="auto"/>
        </w:rPr>
        <w:t xml:space="preserve">The retail segments primarily generate revenue from gaming operations (such as slot machines and table games), food and beverage offerings, and hotel visitation. The accounting policies of our retail segments are the same as those described in our significant accounting policies. See </w:t>
      </w:r>
      <w:r>
        <w:rPr>
          <w:rFonts w:ascii="Times New Roman" w:cs="Times New Roman" w:eastAsia="Times New Roman" w:hAnsi="Times New Roman"/>
          <w:sz w:val="18"/>
          <w:szCs w:val="18"/>
          <w:u w:val="single" w:color="auto"/>
          <w:color w:val="0000FF"/>
        </w:rPr>
        <w:t>Note 2, “Significant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Accounting Policies and Basis of Presentation”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for further information.</w:t>
      </w:r>
    </w:p>
    <w:p>
      <w:pPr>
        <w:spacing w:after="0" w:line="151" w:lineRule="exact"/>
        <w:rPr>
          <w:sz w:val="20"/>
          <w:szCs w:val="20"/>
          <w:color w:val="auto"/>
        </w:rPr>
      </w:pPr>
    </w:p>
    <w:p>
      <w:pPr>
        <w:ind w:right="60" w:firstLine="319"/>
        <w:spacing w:after="0" w:line="260" w:lineRule="auto"/>
        <w:rPr>
          <w:sz w:val="20"/>
          <w:szCs w:val="20"/>
          <w:color w:val="auto"/>
        </w:rPr>
      </w:pPr>
      <w:r>
        <w:rPr>
          <w:rFonts w:ascii="Times New Roman" w:cs="Times New Roman" w:eastAsia="Times New Roman" w:hAnsi="Times New Roman"/>
          <w:sz w:val="18"/>
          <w:szCs w:val="18"/>
          <w:color w:val="auto"/>
        </w:rPr>
        <w:t xml:space="preserve">The Interactive segment includes all of our online gaming operations, management of retail sports betting, and media operations. The accounting policies of our Interactive segment are the same as those described in our significant accounting policies. See </w:t>
      </w:r>
      <w:r>
        <w:rPr>
          <w:rFonts w:ascii="Times New Roman" w:cs="Times New Roman" w:eastAsia="Times New Roman" w:hAnsi="Times New Roman"/>
          <w:sz w:val="18"/>
          <w:szCs w:val="18"/>
          <w:u w:val="single" w:color="auto"/>
          <w:color w:val="0000FF"/>
        </w:rPr>
        <w:t>Note 2, “Significant Accounting Policies and Basis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Presentation”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for further information.</w:t>
      </w:r>
    </w:p>
    <w:p>
      <w:pPr>
        <w:spacing w:after="0" w:line="137" w:lineRule="exact"/>
        <w:rPr>
          <w:sz w:val="20"/>
          <w:szCs w:val="20"/>
          <w:color w:val="auto"/>
        </w:rPr>
      </w:pPr>
    </w:p>
    <w:p>
      <w:pPr>
        <w:ind w:right="140" w:firstLine="319"/>
        <w:spacing w:after="0" w:line="255" w:lineRule="auto"/>
        <w:rPr>
          <w:sz w:val="20"/>
          <w:szCs w:val="20"/>
          <w:color w:val="auto"/>
        </w:rPr>
      </w:pPr>
      <w:r>
        <w:rPr>
          <w:rFonts w:ascii="Times New Roman" w:cs="Times New Roman" w:eastAsia="Times New Roman" w:hAnsi="Times New Roman"/>
          <w:sz w:val="18"/>
          <w:szCs w:val="18"/>
          <w:color w:val="auto"/>
        </w:rPr>
        <w:t>The Other category, included in the tables to reconcile the segment information to the consolidated information, consists of our standalone racing operations, namely Sanford-Orlando Kennel Club, Sam Houston and Valley Race Park, and our management contract for Retama Park Racetrack. The Other category also includes corporate overhead expenses, which consist of certain expenses, such as: payroll, professional fees, travel expenses, and other general and administrative expenses that have not otherwise been allocated.</w:t>
      </w:r>
    </w:p>
    <w:p>
      <w:pPr>
        <w:spacing w:after="0" w:line="143" w:lineRule="exact"/>
        <w:rPr>
          <w:sz w:val="20"/>
          <w:szCs w:val="20"/>
          <w:color w:val="auto"/>
        </w:rPr>
      </w:pPr>
    </w:p>
    <w:p>
      <w:pPr>
        <w:ind w:right="520" w:firstLine="319"/>
        <w:spacing w:after="0" w:line="275" w:lineRule="auto"/>
        <w:rPr>
          <w:sz w:val="20"/>
          <w:szCs w:val="20"/>
          <w:color w:val="auto"/>
        </w:rPr>
      </w:pPr>
      <w:r>
        <w:rPr>
          <w:rFonts w:ascii="Times New Roman" w:cs="Times New Roman" w:eastAsia="Times New Roman" w:hAnsi="Times New Roman"/>
          <w:sz w:val="18"/>
          <w:szCs w:val="18"/>
          <w:color w:val="auto"/>
        </w:rPr>
        <w:t>The Company’s chief operating decision maker (“CODM”) is the Chief Executive Officer and President. Segment Adjusted EBITDAR (as defined below) is our measure of segment profit or loss for each segment and is utilized by the CODM as follows:</w:t>
      </w:r>
    </w:p>
    <w:p>
      <w:pPr>
        <w:spacing w:after="0" w:line="137" w:lineRule="exact"/>
        <w:rPr>
          <w:sz w:val="20"/>
          <w:szCs w:val="20"/>
          <w:color w:val="auto"/>
        </w:rPr>
      </w:pPr>
    </w:p>
    <w:p>
      <w:pPr>
        <w:ind w:left="640" w:hanging="315"/>
        <w:spacing w:after="0"/>
        <w:tabs>
          <w:tab w:leader="none" w:pos="640"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color w:val="auto"/>
        </w:rPr>
        <w:t>within the annual budget and forecasting process when making decisions about the allocation of operating and capital resources to each segment;</w:t>
      </w:r>
    </w:p>
    <w:p>
      <w:pPr>
        <w:spacing w:after="0" w:line="57" w:lineRule="exact"/>
        <w:rPr>
          <w:rFonts w:ascii="Arial" w:cs="Arial" w:eastAsia="Arial" w:hAnsi="Arial"/>
          <w:sz w:val="18"/>
          <w:szCs w:val="18"/>
          <w:color w:val="auto"/>
        </w:rPr>
      </w:pPr>
    </w:p>
    <w:p>
      <w:pPr>
        <w:ind w:left="640" w:hanging="315"/>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evaluate monthly budget-to-actual variances which are used in assessing segment performance;</w:t>
      </w:r>
    </w:p>
    <w:p>
      <w:pPr>
        <w:spacing w:after="0" w:line="58" w:lineRule="exact"/>
        <w:rPr>
          <w:rFonts w:ascii="Times New Roman" w:cs="Times New Roman" w:eastAsia="Times New Roman" w:hAnsi="Times New Roman"/>
          <w:sz w:val="18"/>
          <w:szCs w:val="18"/>
          <w:color w:val="auto"/>
        </w:rPr>
      </w:pPr>
    </w:p>
    <w:p>
      <w:pPr>
        <w:ind w:left="640" w:right="300" w:hanging="315"/>
        <w:spacing w:after="0" w:line="275"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whether to reinvest profits into the segment or into other parts of the Company, such as new development projects, return generating investments in our retail operations and Interactive segment; and</w:t>
      </w:r>
    </w:p>
    <w:p>
      <w:pPr>
        <w:spacing w:after="0" w:line="3"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various capital allocation initiatives such as mergers and acquisitions, share repurchases, and delevering.</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179705</wp:posOffset>
            </wp:positionV>
            <wp:extent cx="716026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tables below provide information about our revenues, expenses, and Segment Adjusted EBITDAR and provide a reconciliation to net income (loss).</w:t>
      </w:r>
    </w:p>
    <w:p>
      <w:pPr>
        <w:spacing w:after="0" w:line="254"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1640205</wp:posOffset>
            </wp:positionH>
            <wp:positionV relativeFrom="paragraph">
              <wp:posOffset>16510</wp:posOffset>
            </wp:positionV>
            <wp:extent cx="54984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498465" cy="8255"/>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Northeast</w:t>
            </w:r>
          </w:p>
        </w:tc>
        <w:tc>
          <w:tcPr>
            <w:tcW w:w="180" w:type="dxa"/>
            <w:vAlign w:val="bottom"/>
          </w:tcPr>
          <w:p>
            <w:pPr>
              <w:spacing w:after="0"/>
              <w:rPr>
                <w:sz w:val="16"/>
                <w:szCs w:val="16"/>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South</w:t>
            </w:r>
          </w:p>
        </w:tc>
        <w:tc>
          <w:tcPr>
            <w:tcW w:w="180" w:type="dxa"/>
            <w:vAlign w:val="bottom"/>
          </w:tcPr>
          <w:p>
            <w:pPr>
              <w:spacing w:after="0"/>
              <w:rPr>
                <w:sz w:val="16"/>
                <w:szCs w:val="16"/>
                <w:color w:val="auto"/>
              </w:rPr>
            </w:pPr>
          </w:p>
        </w:tc>
        <w:tc>
          <w:tcPr>
            <w:tcW w:w="78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West</w:t>
            </w:r>
          </w:p>
        </w:tc>
        <w:tc>
          <w:tcPr>
            <w:tcW w:w="140" w:type="dxa"/>
            <w:vAlign w:val="bottom"/>
          </w:tcPr>
          <w:p>
            <w:pPr>
              <w:spacing w:after="0"/>
              <w:rPr>
                <w:sz w:val="16"/>
                <w:szCs w:val="16"/>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Midwest</w:t>
            </w:r>
          </w:p>
        </w:tc>
        <w:tc>
          <w:tcPr>
            <w:tcW w:w="140" w:type="dxa"/>
            <w:vAlign w:val="bottom"/>
          </w:tcPr>
          <w:p>
            <w:pPr>
              <w:spacing w:after="0"/>
              <w:rPr>
                <w:sz w:val="16"/>
                <w:szCs w:val="16"/>
                <w:color w:val="auto"/>
              </w:rPr>
            </w:pPr>
          </w:p>
        </w:tc>
        <w:tc>
          <w:tcPr>
            <w:tcW w:w="1120" w:type="dxa"/>
            <w:vAlign w:val="bottom"/>
            <w:vMerge w:val="restart"/>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w w:val="97"/>
              </w:rPr>
              <w:t xml:space="preserve">Interactive </w:t>
            </w:r>
            <w:r>
              <w:rPr>
                <w:rFonts w:ascii="Times New Roman" w:cs="Times New Roman" w:eastAsia="Times New Roman" w:hAnsi="Times New Roman"/>
                <w:sz w:val="20"/>
                <w:szCs w:val="20"/>
                <w:b w:val="1"/>
                <w:bCs w:val="1"/>
                <w:color w:val="auto"/>
                <w:w w:val="97"/>
                <w:vertAlign w:val="superscript"/>
              </w:rPr>
              <w:t>(1)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4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Intersegment</w:t>
            </w:r>
          </w:p>
        </w:tc>
        <w:tc>
          <w:tcPr>
            <w:tcW w:w="200" w:type="dxa"/>
            <w:vAlign w:val="bottom"/>
          </w:tcPr>
          <w:p>
            <w:pPr>
              <w:spacing w:after="0"/>
              <w:rPr>
                <w:sz w:val="16"/>
                <w:szCs w:val="16"/>
                <w:color w:val="auto"/>
              </w:rPr>
            </w:pPr>
          </w:p>
        </w:tc>
        <w:tc>
          <w:tcPr>
            <w:tcW w:w="680" w:type="dxa"/>
            <w:vAlign w:val="bottom"/>
            <w:vMerge w:val="restart"/>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59"/>
        </w:trPr>
        <w:tc>
          <w:tcPr>
            <w:tcW w:w="258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2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center"/>
              <w:ind w:right="240"/>
              <w:spacing w:after="0" w:line="139" w:lineRule="exact"/>
              <w:rPr>
                <w:sz w:val="20"/>
                <w:szCs w:val="20"/>
                <w:color w:val="auto"/>
              </w:rPr>
            </w:pPr>
            <w:r>
              <w:rPr>
                <w:rFonts w:ascii="Times New Roman" w:cs="Times New Roman" w:eastAsia="Times New Roman" w:hAnsi="Times New Roman"/>
                <w:sz w:val="13"/>
                <w:szCs w:val="13"/>
                <w:b w:val="1"/>
                <w:bCs w:val="1"/>
                <w:color w:val="auto"/>
              </w:rPr>
              <w:t xml:space="preserve">Eliminations </w:t>
            </w:r>
            <w:r>
              <w:rPr>
                <w:rFonts w:ascii="Times New Roman" w:cs="Times New Roman" w:eastAsia="Times New Roman" w:hAnsi="Times New Roman"/>
                <w:sz w:val="16"/>
                <w:szCs w:val="16"/>
                <w:b w:val="1"/>
                <w:bCs w:val="1"/>
                <w:color w:val="auto"/>
                <w:vertAlign w:val="superscript"/>
              </w:rPr>
              <w:t>(2)</w:t>
            </w:r>
          </w:p>
        </w:tc>
        <w:tc>
          <w:tcPr>
            <w:tcW w:w="2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2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center"/>
              <w:ind w:left="213"/>
              <w:spacing w:after="0"/>
              <w:rPr>
                <w:sz w:val="20"/>
                <w:szCs w:val="20"/>
                <w:color w:val="auto"/>
              </w:rPr>
            </w:pPr>
            <w:r>
              <w:rPr>
                <w:rFonts w:ascii="Times New Roman" w:cs="Times New Roman" w:eastAsia="Times New Roman" w:hAnsi="Times New Roman"/>
                <w:sz w:val="18"/>
                <w:szCs w:val="18"/>
                <w:color w:val="auto"/>
                <w:w w:val="93"/>
              </w:rPr>
              <w:t>708.3</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291.8</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341.9</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348.4</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1,840.0</w:t>
            </w:r>
          </w:p>
        </w:tc>
        <w:tc>
          <w:tcPr>
            <w:tcW w:w="0" w:type="dxa"/>
            <w:vAlign w:val="bottom"/>
          </w:tcPr>
          <w:p>
            <w:pPr>
              <w:spacing w:after="0"/>
              <w:rPr>
                <w:sz w:val="1"/>
                <w:szCs w:val="1"/>
                <w:color w:val="auto"/>
              </w:rPr>
            </w:pPr>
          </w:p>
        </w:tc>
      </w:tr>
      <w:tr>
        <w:trPr>
          <w:trHeight w:val="219"/>
        </w:trPr>
        <w:tc>
          <w:tcPr>
            <w:tcW w:w="2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shd w:val="clear" w:color="auto" w:fill="CCEEFF"/>
          </w:tcPr>
          <w:p>
            <w:pPr>
              <w:spacing w:after="0"/>
              <w:rPr>
                <w:sz w:val="20"/>
                <w:szCs w:val="20"/>
                <w:color w:val="auto"/>
              </w:rPr>
            </w:pPr>
          </w:p>
        </w:tc>
        <w:tc>
          <w:tcPr>
            <w:tcW w:w="2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Gaming taxes</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center"/>
              <w:ind w:left="193"/>
              <w:spacing w:after="0"/>
              <w:rPr>
                <w:sz w:val="20"/>
                <w:szCs w:val="20"/>
                <w:color w:val="auto"/>
              </w:rPr>
            </w:pPr>
            <w:r>
              <w:rPr>
                <w:rFonts w:ascii="Times New Roman" w:cs="Times New Roman" w:eastAsia="Times New Roman" w:hAnsi="Times New Roman"/>
                <w:sz w:val="18"/>
                <w:szCs w:val="18"/>
                <w:color w:val="auto"/>
                <w:w w:val="98"/>
              </w:rPr>
              <w:t>(285.8)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6"/>
              </w:rPr>
              <w:t>(58.0)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(89.4)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20" w:type="dxa"/>
            <w:vAlign w:val="bottom"/>
          </w:tcPr>
          <w:p>
            <w:pPr>
              <w:spacing w:after="0"/>
              <w:rPr>
                <w:sz w:val="20"/>
                <w:szCs w:val="20"/>
                <w:color w:val="auto"/>
              </w:rPr>
            </w:pPr>
          </w:p>
        </w:tc>
        <w:tc>
          <w:tcPr>
            <w:tcW w:w="840" w:type="dxa"/>
            <w:vAlign w:val="bottom"/>
          </w:tcPr>
          <w:p>
            <w:pPr>
              <w:jc w:val="center"/>
              <w:ind w:left="193"/>
              <w:spacing w:after="0"/>
              <w:rPr>
                <w:sz w:val="20"/>
                <w:szCs w:val="20"/>
                <w:color w:val="auto"/>
              </w:rPr>
            </w:pPr>
            <w:r>
              <w:rPr>
                <w:rFonts w:ascii="Times New Roman" w:cs="Times New Roman" w:eastAsia="Times New Roman" w:hAnsi="Times New Roman"/>
                <w:sz w:val="18"/>
                <w:szCs w:val="18"/>
                <w:color w:val="auto"/>
                <w:w w:val="98"/>
              </w:rPr>
              <w:t>(106.4)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6"/>
              </w:rPr>
              <w:t>(58.2)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0" w:type="dxa"/>
            <w:vAlign w:val="bottom"/>
            <w:shd w:val="clear" w:color="auto" w:fill="CCEEFF"/>
          </w:tcPr>
          <w:p>
            <w:pPr>
              <w:spacing w:after="0"/>
              <w:rPr>
                <w:sz w:val="20"/>
                <w:szCs w:val="20"/>
                <w:color w:val="auto"/>
              </w:rPr>
            </w:pPr>
          </w:p>
        </w:tc>
        <w:tc>
          <w:tcPr>
            <w:tcW w:w="2560" w:type="dxa"/>
            <w:vAlign w:val="bottom"/>
            <w:gridSpan w:val="2"/>
            <w:shd w:val="clear" w:color="auto" w:fill="CCEEFF"/>
          </w:tcPr>
          <w:p>
            <w:pPr>
              <w:ind w:left="120"/>
              <w:spacing w:after="0" w:line="239" w:lineRule="exact"/>
              <w:rPr>
                <w:sz w:val="20"/>
                <w:szCs w:val="20"/>
                <w:color w:val="auto"/>
              </w:rPr>
            </w:pPr>
            <w:r>
              <w:rPr>
                <w:rFonts w:ascii="Times New Roman" w:cs="Times New Roman" w:eastAsia="Times New Roman" w:hAnsi="Times New Roman"/>
                <w:sz w:val="18"/>
                <w:szCs w:val="18"/>
                <w:color w:val="auto"/>
              </w:rPr>
              <w:t xml:space="preserve">Media and advertising </w:t>
            </w:r>
            <w:r>
              <w:rPr>
                <w:rFonts w:ascii="Times New Roman" w:cs="Times New Roman" w:eastAsia="Times New Roman" w:hAnsi="Times New Roman"/>
                <w:sz w:val="23"/>
                <w:szCs w:val="23"/>
                <w:color w:val="auto"/>
                <w:vertAlign w:val="superscript"/>
              </w:rPr>
              <w:t>(3)</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0" w:type="dxa"/>
            <w:vAlign w:val="bottom"/>
            <w:tcBorders>
              <w:bottom w:val="single" w:sz="8" w:color="CCEEFF"/>
            </w:tcBorders>
          </w:tcPr>
          <w:p>
            <w:pPr>
              <w:spacing w:after="0"/>
              <w:rPr>
                <w:sz w:val="20"/>
                <w:szCs w:val="20"/>
                <w:color w:val="auto"/>
              </w:rPr>
            </w:pPr>
          </w:p>
        </w:tc>
        <w:tc>
          <w:tcPr>
            <w:tcW w:w="2560" w:type="dxa"/>
            <w:vAlign w:val="bottom"/>
            <w:tcBorders>
              <w:bottom w:val="single" w:sz="8" w:color="CCEEFF"/>
            </w:tcBorders>
            <w:gridSpan w:val="2"/>
          </w:tcPr>
          <w:p>
            <w:pPr>
              <w:ind w:left="120"/>
              <w:spacing w:after="0" w:line="239"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(4)</w:t>
            </w: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left="193"/>
              <w:spacing w:after="0"/>
              <w:rPr>
                <w:sz w:val="20"/>
                <w:szCs w:val="20"/>
                <w:color w:val="auto"/>
              </w:rPr>
            </w:pPr>
            <w:r>
              <w:rPr>
                <w:rFonts w:ascii="Times New Roman" w:cs="Times New Roman" w:eastAsia="Times New Roman" w:hAnsi="Times New Roman"/>
                <w:sz w:val="18"/>
                <w:szCs w:val="18"/>
                <w:color w:val="auto"/>
                <w:w w:val="98"/>
              </w:rPr>
              <w:t>(108.0)</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w w:val="96"/>
              </w:rPr>
              <w:t>(67.3)</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7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2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580" w:type="dxa"/>
            <w:vAlign w:val="bottom"/>
            <w:tcBorders>
              <w:bottom w:val="single" w:sz="8" w:color="CCEEFF"/>
            </w:tcBorders>
            <w:gridSpan w:val="3"/>
            <w:shd w:val="clear" w:color="auto" w:fill="CCEEFF"/>
          </w:tcPr>
          <w:p>
            <w:pPr>
              <w:ind w:left="20"/>
              <w:spacing w:after="0" w:line="232" w:lineRule="exact"/>
              <w:rPr>
                <w:sz w:val="20"/>
                <w:szCs w:val="20"/>
                <w:color w:val="auto"/>
              </w:rPr>
            </w:pPr>
            <w:r>
              <w:rPr>
                <w:rFonts w:ascii="Times New Roman" w:cs="Times New Roman" w:eastAsia="Times New Roman" w:hAnsi="Times New Roman"/>
                <w:sz w:val="18"/>
                <w:szCs w:val="18"/>
                <w:b w:val="1"/>
                <w:bCs w:val="1"/>
                <w:color w:val="auto"/>
              </w:rPr>
              <w:t xml:space="preserve">Segment Adjusted EBITDAR </w:t>
            </w:r>
            <w:r>
              <w:rPr>
                <w:rFonts w:ascii="Times New Roman" w:cs="Times New Roman" w:eastAsia="Times New Roman" w:hAnsi="Times New Roman"/>
                <w:sz w:val="23"/>
                <w:szCs w:val="23"/>
                <w:b w:val="1"/>
                <w:bCs w:val="1"/>
                <w:color w:val="auto"/>
                <w:vertAlign w:val="superscript"/>
              </w:rPr>
              <w:t>(5)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center"/>
              <w:ind w:left="213"/>
              <w:spacing w:after="0"/>
              <w:rPr>
                <w:sz w:val="20"/>
                <w:szCs w:val="20"/>
                <w:color w:val="auto"/>
              </w:rPr>
            </w:pPr>
            <w:r>
              <w:rPr>
                <w:rFonts w:ascii="Times New Roman" w:cs="Times New Roman" w:eastAsia="Times New Roman" w:hAnsi="Times New Roman"/>
                <w:sz w:val="18"/>
                <w:szCs w:val="18"/>
                <w:color w:val="auto"/>
                <w:w w:val="93"/>
              </w:rPr>
              <w:t>208.1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108.3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134.5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4800" w:type="dxa"/>
            <w:vAlign w:val="bottom"/>
            <w:gridSpan w:val="10"/>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4800" w:type="dxa"/>
            <w:vAlign w:val="bottom"/>
            <w:gridSpan w:val="10"/>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operating benefits (costs) and other income (expenses):</w:t>
            </w: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560" w:type="dxa"/>
            <w:vAlign w:val="bottom"/>
            <w:gridSpan w:val="2"/>
          </w:tcPr>
          <w:p>
            <w:pPr>
              <w:ind w:left="200"/>
              <w:spacing w:after="0" w:line="239" w:lineRule="exact"/>
              <w:rPr>
                <w:sz w:val="20"/>
                <w:szCs w:val="20"/>
                <w:color w:val="auto"/>
              </w:rPr>
            </w:pPr>
            <w:r>
              <w:rPr>
                <w:rFonts w:ascii="Times New Roman" w:cs="Times New Roman" w:eastAsia="Times New Roman" w:hAnsi="Times New Roman"/>
                <w:sz w:val="18"/>
                <w:szCs w:val="18"/>
                <w:color w:val="auto"/>
              </w:rPr>
              <w:t xml:space="preserve">Other category </w:t>
            </w:r>
            <w:r>
              <w:rPr>
                <w:rFonts w:ascii="Times New Roman" w:cs="Times New Roman" w:eastAsia="Times New Roman" w:hAnsi="Times New Roman"/>
                <w:sz w:val="23"/>
                <w:szCs w:val="23"/>
                <w:color w:val="auto"/>
                <w:vertAlign w:val="superscript"/>
              </w:rPr>
              <w:t>(6)</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39"/>
        </w:trPr>
        <w:tc>
          <w:tcPr>
            <w:tcW w:w="20" w:type="dxa"/>
            <w:vAlign w:val="bottom"/>
            <w:shd w:val="clear" w:color="auto" w:fill="CCEEFF"/>
          </w:tcPr>
          <w:p>
            <w:pPr>
              <w:spacing w:after="0"/>
              <w:rPr>
                <w:sz w:val="20"/>
                <w:szCs w:val="20"/>
                <w:color w:val="auto"/>
              </w:rPr>
            </w:pPr>
          </w:p>
        </w:tc>
        <w:tc>
          <w:tcPr>
            <w:tcW w:w="4600" w:type="dxa"/>
            <w:vAlign w:val="bottom"/>
            <w:gridSpan w:val="8"/>
            <w:shd w:val="clear" w:color="auto" w:fill="CCEEFF"/>
          </w:tcPr>
          <w:p>
            <w:pPr>
              <w:ind w:left="200"/>
              <w:spacing w:after="0" w:line="239" w:lineRule="exact"/>
              <w:rPr>
                <w:sz w:val="20"/>
                <w:szCs w:val="20"/>
                <w:color w:val="auto"/>
              </w:rPr>
            </w:pPr>
            <w:r>
              <w:rPr>
                <w:rFonts w:ascii="Times New Roman" w:cs="Times New Roman" w:eastAsia="Times New Roman" w:hAnsi="Times New Roman"/>
                <w:sz w:val="18"/>
                <w:szCs w:val="18"/>
                <w:color w:val="auto"/>
              </w:rPr>
              <w:t xml:space="preserve">Rent expense associated with triple net operating leases </w:t>
            </w:r>
            <w:r>
              <w:rPr>
                <w:rFonts w:ascii="Times New Roman" w:cs="Times New Roman" w:eastAsia="Times New Roman" w:hAnsi="Times New Roman"/>
                <w:sz w:val="23"/>
                <w:szCs w:val="23"/>
                <w:color w:val="auto"/>
                <w:vertAlign w:val="superscript"/>
              </w:rPr>
              <w:t>(7)</w:t>
            </w: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39"/>
        </w:trPr>
        <w:tc>
          <w:tcPr>
            <w:tcW w:w="20" w:type="dxa"/>
            <w:vAlign w:val="bottom"/>
            <w:shd w:val="clear" w:color="auto" w:fill="CCEEFF"/>
          </w:tcPr>
          <w:p>
            <w:pPr>
              <w:spacing w:after="0"/>
              <w:rPr>
                <w:sz w:val="20"/>
                <w:szCs w:val="20"/>
                <w:color w:val="auto"/>
              </w:rPr>
            </w:pPr>
          </w:p>
        </w:tc>
        <w:tc>
          <w:tcPr>
            <w:tcW w:w="3620" w:type="dxa"/>
            <w:vAlign w:val="bottom"/>
            <w:gridSpan w:val="5"/>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Cash-settled stock-based awards variance</w:t>
            </w: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Pre-opening expenses</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9"/>
        </w:trPr>
        <w:tc>
          <w:tcPr>
            <w:tcW w:w="20" w:type="dxa"/>
            <w:vAlign w:val="bottom"/>
            <w:shd w:val="clear" w:color="auto" w:fill="CCEEFF"/>
          </w:tcPr>
          <w:p>
            <w:pPr>
              <w:spacing w:after="0"/>
              <w:rPr>
                <w:sz w:val="20"/>
                <w:szCs w:val="20"/>
                <w:color w:val="auto"/>
              </w:rPr>
            </w:pPr>
          </w:p>
        </w:tc>
        <w:tc>
          <w:tcPr>
            <w:tcW w:w="25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560" w:type="dxa"/>
            <w:vAlign w:val="bottom"/>
            <w:gridSpan w:val="2"/>
          </w:tcPr>
          <w:p>
            <w:pPr>
              <w:ind w:left="200"/>
              <w:spacing w:after="0" w:line="239" w:lineRule="exact"/>
              <w:rPr>
                <w:sz w:val="20"/>
                <w:szCs w:val="20"/>
                <w:color w:val="auto"/>
              </w:rPr>
            </w:pPr>
            <w:r>
              <w:rPr>
                <w:rFonts w:ascii="Times New Roman" w:cs="Times New Roman" w:eastAsia="Times New Roman" w:hAnsi="Times New Roman"/>
                <w:sz w:val="18"/>
                <w:szCs w:val="18"/>
                <w:color w:val="auto"/>
              </w:rPr>
              <w:t xml:space="preserve">Impairment loss </w:t>
            </w:r>
            <w:r>
              <w:rPr>
                <w:rFonts w:ascii="Times New Roman" w:cs="Times New Roman" w:eastAsia="Times New Roman" w:hAnsi="Times New Roman"/>
                <w:sz w:val="23"/>
                <w:szCs w:val="23"/>
                <w:color w:val="auto"/>
                <w:vertAlign w:val="superscript"/>
              </w:rPr>
              <w:t>(8)</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39"/>
        </w:trPr>
        <w:tc>
          <w:tcPr>
            <w:tcW w:w="20" w:type="dxa"/>
            <w:vAlign w:val="bottom"/>
            <w:shd w:val="clear" w:color="auto" w:fill="CCEEFF"/>
          </w:tcPr>
          <w:p>
            <w:pPr>
              <w:spacing w:after="0"/>
              <w:rPr>
                <w:sz w:val="20"/>
                <w:szCs w:val="20"/>
                <w:color w:val="auto"/>
              </w:rPr>
            </w:pPr>
          </w:p>
        </w:tc>
        <w:tc>
          <w:tcPr>
            <w:tcW w:w="4600" w:type="dxa"/>
            <w:vAlign w:val="bottom"/>
            <w:gridSpan w:val="8"/>
            <w:shd w:val="clear" w:color="auto" w:fill="CCEEFF"/>
          </w:tcPr>
          <w:p>
            <w:pPr>
              <w:ind w:left="200"/>
              <w:spacing w:after="0" w:line="239" w:lineRule="exact"/>
              <w:rPr>
                <w:sz w:val="20"/>
                <w:szCs w:val="20"/>
                <w:color w:val="auto"/>
              </w:rPr>
            </w:pPr>
            <w:r>
              <w:rPr>
                <w:rFonts w:ascii="Times New Roman" w:cs="Times New Roman" w:eastAsia="Times New Roman" w:hAnsi="Times New Roman"/>
                <w:sz w:val="18"/>
                <w:szCs w:val="18"/>
                <w:color w:val="auto"/>
              </w:rPr>
              <w:t xml:space="preserve">Non-operating items of equity method investments </w:t>
            </w:r>
            <w:r>
              <w:rPr>
                <w:rFonts w:ascii="Times New Roman" w:cs="Times New Roman" w:eastAsia="Times New Roman" w:hAnsi="Times New Roman"/>
                <w:sz w:val="23"/>
                <w:szCs w:val="23"/>
                <w:color w:val="auto"/>
                <w:vertAlign w:val="superscript"/>
              </w:rPr>
              <w:t>(9)</w:t>
            </w: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0" w:type="dxa"/>
            <w:vAlign w:val="bottom"/>
          </w:tcPr>
          <w:p>
            <w:pPr>
              <w:spacing w:after="0"/>
              <w:rPr>
                <w:sz w:val="1"/>
                <w:szCs w:val="1"/>
                <w:color w:val="auto"/>
              </w:rPr>
            </w:pPr>
          </w:p>
        </w:tc>
      </w:tr>
      <w:tr>
        <w:trPr>
          <w:trHeight w:val="239"/>
        </w:trPr>
        <w:tc>
          <w:tcPr>
            <w:tcW w:w="20" w:type="dxa"/>
            <w:vAlign w:val="bottom"/>
            <w:shd w:val="clear" w:color="auto" w:fill="CCEEFF"/>
          </w:tcPr>
          <w:p>
            <w:pPr>
              <w:spacing w:after="0"/>
              <w:rPr>
                <w:sz w:val="20"/>
                <w:szCs w:val="20"/>
                <w:color w:val="auto"/>
              </w:rPr>
            </w:pPr>
          </w:p>
        </w:tc>
        <w:tc>
          <w:tcPr>
            <w:tcW w:w="25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9"/>
        </w:trPr>
        <w:tc>
          <w:tcPr>
            <w:tcW w:w="20" w:type="dxa"/>
            <w:vAlign w:val="bottom"/>
            <w:tcBorders>
              <w:bottom w:val="single" w:sz="8" w:color="CCEEFF"/>
            </w:tcBorders>
          </w:tcPr>
          <w:p>
            <w:pPr>
              <w:spacing w:after="0"/>
              <w:rPr>
                <w:sz w:val="20"/>
                <w:szCs w:val="20"/>
                <w:color w:val="auto"/>
              </w:rPr>
            </w:pPr>
          </w:p>
        </w:tc>
        <w:tc>
          <w:tcPr>
            <w:tcW w:w="256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CCEEFF"/>
            </w:tcBorders>
          </w:tcPr>
          <w:p>
            <w:pPr>
              <w:spacing w:after="0"/>
              <w:rPr>
                <w:sz w:val="20"/>
                <w:szCs w:val="20"/>
                <w:color w:val="auto"/>
              </w:rPr>
            </w:pPr>
          </w:p>
        </w:tc>
        <w:tc>
          <w:tcPr>
            <w:tcW w:w="8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6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6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7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1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7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2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2"/>
        </w:trPr>
        <w:tc>
          <w:tcPr>
            <w:tcW w:w="2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39"/>
        </w:trPr>
        <w:tc>
          <w:tcPr>
            <w:tcW w:w="25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tcBorders>
              <w:bottom w:val="single" w:sz="8" w:color="CCEEFF"/>
            </w:tcBorders>
          </w:tcPr>
          <w:p>
            <w:pPr>
              <w:spacing w:after="0"/>
              <w:rPr>
                <w:sz w:val="20"/>
                <w:szCs w:val="20"/>
                <w:color w:val="auto"/>
              </w:rPr>
            </w:pPr>
          </w:p>
        </w:tc>
        <w:tc>
          <w:tcPr>
            <w:tcW w:w="8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6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6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7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1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7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2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57"/>
        </w:trPr>
        <w:tc>
          <w:tcPr>
            <w:tcW w:w="25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ind w:left="640" w:right="180" w:hanging="315"/>
        <w:spacing w:after="0" w:line="291" w:lineRule="auto"/>
        <w:tabs>
          <w:tab w:leader="none" w:pos="63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Revenues and gaming taxes expense within the Interactive segment are inclusive of gaming tax reimbursement amounts related to third-party OSB and/or iCasino partners for OSB and iCasino market access of $191.4 million for the three months ended September 30, 2026.</w:t>
      </w:r>
    </w:p>
    <w:p>
      <w:pPr>
        <w:spacing w:after="0" w:line="8" w:lineRule="exact"/>
        <w:rPr>
          <w:rFonts w:ascii="Times New Roman" w:cs="Times New Roman" w:eastAsia="Times New Roman" w:hAnsi="Times New Roman"/>
          <w:sz w:val="14"/>
          <w:szCs w:val="14"/>
          <w:color w:val="auto"/>
        </w:rPr>
      </w:pPr>
    </w:p>
    <w:p>
      <w:pPr>
        <w:ind w:left="640" w:hanging="315"/>
        <w:spacing w:after="0"/>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represents the elimination of intersegment revenues associated with our retail sportsbooks, which are operated by PENN Interactive.</w:t>
      </w:r>
    </w:p>
    <w:p>
      <w:pPr>
        <w:spacing w:after="0" w:line="51" w:lineRule="exact"/>
        <w:rPr>
          <w:rFonts w:ascii="Times New Roman" w:cs="Times New Roman" w:eastAsia="Times New Roman" w:hAnsi="Times New Roman"/>
          <w:sz w:val="14"/>
          <w:szCs w:val="14"/>
          <w:color w:val="auto"/>
        </w:rPr>
      </w:pPr>
    </w:p>
    <w:p>
      <w:pPr>
        <w:ind w:left="640" w:right="100" w:hanging="315"/>
        <w:spacing w:after="0" w:line="274" w:lineRule="auto"/>
        <w:tabs>
          <w:tab w:leader="none" w:pos="63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advertising and media expenses across various platforms for the Hollywood-branded iCasino, theScore Bet, and theScore iCasino apps. Such platforms include television, radio, out-of-home, social media, both paid and organic search, as well as sponsorships and media costs associated with partnerships with major sports leagues, and other professional sports teams.</w:t>
      </w:r>
    </w:p>
    <w:p>
      <w:pPr>
        <w:spacing w:after="0" w:line="19" w:lineRule="exact"/>
        <w:rPr>
          <w:rFonts w:ascii="Times New Roman" w:cs="Times New Roman" w:eastAsia="Times New Roman" w:hAnsi="Times New Roman"/>
          <w:sz w:val="14"/>
          <w:szCs w:val="14"/>
          <w:color w:val="auto"/>
        </w:rPr>
      </w:pPr>
    </w:p>
    <w:p>
      <w:pPr>
        <w:ind w:left="640" w:hanging="315"/>
        <w:spacing w:after="0"/>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each reportable segment, the Other segment items category includes:</w:t>
      </w:r>
    </w:p>
    <w:p>
      <w:pPr>
        <w:spacing w:after="0" w:line="64" w:lineRule="exact"/>
        <w:rPr>
          <w:rFonts w:ascii="Times New Roman" w:cs="Times New Roman" w:eastAsia="Times New Roman" w:hAnsi="Times New Roman"/>
          <w:sz w:val="14"/>
          <w:szCs w:val="14"/>
          <w:color w:val="auto"/>
        </w:rPr>
      </w:pPr>
    </w:p>
    <w:p>
      <w:pPr>
        <w:ind w:left="1280" w:right="280" w:hanging="318"/>
        <w:spacing w:after="0" w:line="272" w:lineRule="auto"/>
        <w:tabs>
          <w:tab w:leader="none" w:pos="1272"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Northeast segment - cost of goods sold, professional services, legal expenses, facility maintenance, utilities, supplies, property and liability insurance, advertising and promotional expenses, property taxes, sales and use taxes, other taxes and fees, non-REIT lease expenses, allocated corporate expenses, and third-party revenue share fees.</w:t>
      </w:r>
    </w:p>
    <w:p>
      <w:pPr>
        <w:spacing w:after="0" w:line="20" w:lineRule="exact"/>
        <w:rPr>
          <w:rFonts w:ascii="Times New Roman" w:cs="Times New Roman" w:eastAsia="Times New Roman" w:hAnsi="Times New Roman"/>
          <w:sz w:val="14"/>
          <w:szCs w:val="14"/>
          <w:color w:val="auto"/>
        </w:rPr>
      </w:pPr>
    </w:p>
    <w:p>
      <w:pPr>
        <w:ind w:left="1280" w:right="80" w:hanging="318"/>
        <w:spacing w:after="0" w:line="291" w:lineRule="auto"/>
        <w:tabs>
          <w:tab w:leader="none" w:pos="1280"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South segment - cost of goods sold, professional services, legal expenses, facility maintenance, utilities, supplies, property and liability insurance, advertising and promotional expenses, property taxes, sales and use taxes, other taxes and fees, non-REIT lease expenses, allocated corporate expenses, and third-party revenue share fees.</w:t>
      </w:r>
    </w:p>
    <w:p>
      <w:pPr>
        <w:spacing w:after="0" w:line="8" w:lineRule="exact"/>
        <w:rPr>
          <w:rFonts w:ascii="Times New Roman" w:cs="Times New Roman" w:eastAsia="Times New Roman" w:hAnsi="Times New Roman"/>
          <w:sz w:val="14"/>
          <w:szCs w:val="14"/>
          <w:color w:val="auto"/>
        </w:rPr>
      </w:pPr>
    </w:p>
    <w:p>
      <w:pPr>
        <w:ind w:left="1280" w:right="120" w:hanging="318"/>
        <w:spacing w:after="0" w:line="287" w:lineRule="auto"/>
        <w:tabs>
          <w:tab w:leader="none" w:pos="1272"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West segment - cost of goods sold, professional services, legal expenses, facility maintenance, utilities, supplies, property and liability insurance, advertising and promotional expenses, property taxes, sales and use taxes, other taxes and fees, non-REIT lease expenses, allocated corporate expenses, and third-party revenue share fees.</w:t>
      </w:r>
    </w:p>
    <w:p>
      <w:pPr>
        <w:ind w:left="1280" w:right="280" w:hanging="318"/>
        <w:spacing w:after="0" w:line="291" w:lineRule="auto"/>
        <w:tabs>
          <w:tab w:leader="none" w:pos="1280"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Midwest segment - cost of goods sold, professional services, legal expenses, facility maintenance, utilities, supplies, property and liability insurance, advertising and promotional expenses, property taxes, sales and use taxes, other taxes and fees, non-REIT lease expenses, allocated corporate expenses, and third-party revenue share fees.</w:t>
      </w:r>
    </w:p>
    <w:p>
      <w:pPr>
        <w:spacing w:after="0" w:line="8" w:lineRule="exact"/>
        <w:rPr>
          <w:rFonts w:ascii="Times New Roman" w:cs="Times New Roman" w:eastAsia="Times New Roman" w:hAnsi="Times New Roman"/>
          <w:sz w:val="14"/>
          <w:szCs w:val="14"/>
          <w:color w:val="auto"/>
        </w:rPr>
      </w:pPr>
    </w:p>
    <w:p>
      <w:pPr>
        <w:ind w:left="1280" w:right="140" w:hanging="318"/>
        <w:spacing w:after="0" w:line="291" w:lineRule="auto"/>
        <w:tabs>
          <w:tab w:leader="none" w:pos="1272"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Interactive segment - professional services, legal expenses, software subscriptions and maintenance fees, software development costs, utilities, supplies, property and liability insurance, other taxes and fees, lease expenses, allocated corporate expenses, and third-party revenue share fees.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187960</wp:posOffset>
            </wp:positionV>
            <wp:extent cx="716026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40" w:right="60" w:hanging="315"/>
        <w:spacing w:after="0" w:line="266" w:lineRule="auto"/>
        <w:tabs>
          <w:tab w:leader="none" w:pos="63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define Segment Adjusted EBITDAR as earnings before interest expense, net, interest income, income taxes, depreciation and amortization, rent expense associated with triple net operating leases (see footnote (7) below), stock-based compensation, debt extinguishment charges, impairment losses, insurance recoveries, net of deductible charges, changes in the estimated fair value of our contingent purchase price obligations, gain or loss on disposal of assets, the difference between budget and actual expense for cash-settled stock-based awards, pre-opening expenses, loss on disposal of a business, non-cash gains/losses associated with REIT transactions, and other. Segment Adjusted EBITDAR is also inclusive of income or loss from unconsolidated affiliates, with our share of non-operating items (see footnote (9) below) added back for our Kansas Entertainment joint venture.</w:t>
      </w:r>
    </w:p>
    <w:p>
      <w:pPr>
        <w:spacing w:after="0" w:line="10" w:lineRule="exact"/>
        <w:rPr>
          <w:rFonts w:ascii="Times New Roman" w:cs="Times New Roman" w:eastAsia="Times New Roman" w:hAnsi="Times New Roman"/>
          <w:sz w:val="14"/>
          <w:szCs w:val="14"/>
          <w:color w:val="auto"/>
        </w:rPr>
      </w:pPr>
    </w:p>
    <w:p>
      <w:pPr>
        <w:ind w:left="640" w:hanging="315"/>
        <w:spacing w:after="0"/>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represents corporate overhead expenses of $30.4 million for the three months ended September 30, 2026.</w:t>
      </w:r>
    </w:p>
    <w:p>
      <w:pPr>
        <w:spacing w:after="0" w:line="64" w:lineRule="exact"/>
        <w:rPr>
          <w:rFonts w:ascii="Times New Roman" w:cs="Times New Roman" w:eastAsia="Times New Roman" w:hAnsi="Times New Roman"/>
          <w:sz w:val="14"/>
          <w:szCs w:val="14"/>
          <w:color w:val="auto"/>
        </w:rPr>
      </w:pPr>
    </w:p>
    <w:p>
      <w:pPr>
        <w:ind w:left="640" w:hanging="315"/>
        <w:spacing w:after="0"/>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Pertains to the following operating leases: (i) AR PENN Master Lease; (ii) 2023 Master Lease; and (iii) VICI Master Lease.</w:t>
      </w:r>
    </w:p>
    <w:p>
      <w:pPr>
        <w:spacing w:after="0" w:line="64" w:lineRule="exact"/>
        <w:rPr>
          <w:rFonts w:ascii="Times New Roman" w:cs="Times New Roman" w:eastAsia="Times New Roman" w:hAnsi="Times New Roman"/>
          <w:sz w:val="14"/>
          <w:szCs w:val="14"/>
          <w:color w:val="auto"/>
        </w:rPr>
      </w:pPr>
    </w:p>
    <w:p>
      <w:pPr>
        <w:ind w:left="640" w:hanging="315"/>
        <w:spacing w:after="0"/>
        <w:tabs>
          <w:tab w:leader="none" w:pos="640" w:val="left"/>
        </w:tabs>
        <w:numPr>
          <w:ilvl w:val="0"/>
          <w:numId w:val="14"/>
        </w:numPr>
        <w:rPr>
          <w:rFonts w:ascii="Times New Roman" w:cs="Times New Roman" w:eastAsia="Times New Roman" w:hAnsi="Times New Roman"/>
          <w:sz w:val="14"/>
          <w:szCs w:val="14"/>
          <w:color w:val="212529"/>
        </w:rPr>
      </w:pPr>
      <w:r>
        <w:rPr>
          <w:rFonts w:ascii="Times New Roman" w:cs="Times New Roman" w:eastAsia="Times New Roman" w:hAnsi="Times New Roman"/>
          <w:sz w:val="14"/>
          <w:szCs w:val="14"/>
          <w:color w:val="212529"/>
        </w:rPr>
        <w:t>Relates to an impairment charge in our South segment.</w:t>
      </w:r>
    </w:p>
    <w:p>
      <w:pPr>
        <w:spacing w:after="0" w:line="64" w:lineRule="exact"/>
        <w:rPr>
          <w:rFonts w:ascii="Times New Roman" w:cs="Times New Roman" w:eastAsia="Times New Roman" w:hAnsi="Times New Roman"/>
          <w:sz w:val="14"/>
          <w:szCs w:val="14"/>
          <w:color w:val="212529"/>
        </w:rPr>
      </w:pPr>
    </w:p>
    <w:p>
      <w:pPr>
        <w:ind w:left="640" w:hanging="315"/>
        <w:spacing w:after="0"/>
        <w:tabs>
          <w:tab w:leader="none" w:pos="640" w:val="left"/>
        </w:tabs>
        <w:numPr>
          <w:ilvl w:val="0"/>
          <w:numId w:val="14"/>
        </w:numPr>
        <w:rPr>
          <w:rFonts w:ascii="Times New Roman" w:cs="Times New Roman" w:eastAsia="Times New Roman" w:hAnsi="Times New Roman"/>
          <w:sz w:val="14"/>
          <w:szCs w:val="14"/>
          <w:color w:val="212529"/>
        </w:rPr>
      </w:pPr>
      <w:r>
        <w:rPr>
          <w:rFonts w:ascii="Times New Roman" w:cs="Times New Roman" w:eastAsia="Times New Roman" w:hAnsi="Times New Roman"/>
          <w:sz w:val="14"/>
          <w:szCs w:val="14"/>
          <w:color w:val="auto"/>
        </w:rPr>
        <w:t>Consists primarily of depreciation expense associated with our Kansas Entertainment joint venture.</w:t>
      </w:r>
    </w:p>
    <w:p>
      <w:pPr>
        <w:spacing w:after="0" w:line="200" w:lineRule="exact"/>
        <w:rPr>
          <w:sz w:val="20"/>
          <w:szCs w:val="20"/>
          <w:color w:val="auto"/>
        </w:rPr>
      </w:pPr>
    </w:p>
    <w:p>
      <w:pPr>
        <w:spacing w:after="0" w:line="212"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1623060</wp:posOffset>
            </wp:positionH>
            <wp:positionV relativeFrom="paragraph">
              <wp:posOffset>16510</wp:posOffset>
            </wp:positionV>
            <wp:extent cx="551561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515610" cy="8255"/>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Northeast</w:t>
            </w:r>
          </w:p>
        </w:tc>
        <w:tc>
          <w:tcPr>
            <w:tcW w:w="160" w:type="dxa"/>
            <w:vAlign w:val="bottom"/>
          </w:tcPr>
          <w:p>
            <w:pPr>
              <w:spacing w:after="0"/>
              <w:rPr>
                <w:sz w:val="16"/>
                <w:szCs w:val="16"/>
                <w:color w:val="auto"/>
              </w:rPr>
            </w:pPr>
          </w:p>
        </w:tc>
        <w:tc>
          <w:tcPr>
            <w:tcW w:w="8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South</w:t>
            </w:r>
          </w:p>
        </w:tc>
        <w:tc>
          <w:tcPr>
            <w:tcW w:w="200" w:type="dxa"/>
            <w:vAlign w:val="bottom"/>
          </w:tcPr>
          <w:p>
            <w:pPr>
              <w:spacing w:after="0"/>
              <w:rPr>
                <w:sz w:val="16"/>
                <w:szCs w:val="16"/>
                <w:color w:val="auto"/>
              </w:rPr>
            </w:pPr>
          </w:p>
        </w:tc>
        <w:tc>
          <w:tcPr>
            <w:tcW w:w="78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West</w:t>
            </w:r>
          </w:p>
        </w:tc>
        <w:tc>
          <w:tcPr>
            <w:tcW w:w="120" w:type="dxa"/>
            <w:vAlign w:val="bottom"/>
          </w:tcPr>
          <w:p>
            <w:pPr>
              <w:spacing w:after="0"/>
              <w:rPr>
                <w:sz w:val="16"/>
                <w:szCs w:val="16"/>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Midwest</w:t>
            </w:r>
          </w:p>
        </w:tc>
        <w:tc>
          <w:tcPr>
            <w:tcW w:w="140" w:type="dxa"/>
            <w:vAlign w:val="bottom"/>
          </w:tcPr>
          <w:p>
            <w:pPr>
              <w:spacing w:after="0"/>
              <w:rPr>
                <w:sz w:val="16"/>
                <w:szCs w:val="16"/>
                <w:color w:val="auto"/>
              </w:rPr>
            </w:pPr>
          </w:p>
        </w:tc>
        <w:tc>
          <w:tcPr>
            <w:tcW w:w="1120" w:type="dxa"/>
            <w:vAlign w:val="bottom"/>
            <w:vMerge w:val="restart"/>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w w:val="97"/>
              </w:rPr>
              <w:t xml:space="preserve">Interactive </w:t>
            </w:r>
            <w:r>
              <w:rPr>
                <w:rFonts w:ascii="Times New Roman" w:cs="Times New Roman" w:eastAsia="Times New Roman" w:hAnsi="Times New Roman"/>
                <w:sz w:val="20"/>
                <w:szCs w:val="20"/>
                <w:b w:val="1"/>
                <w:bCs w:val="1"/>
                <w:color w:val="auto"/>
                <w:w w:val="97"/>
                <w:vertAlign w:val="superscript"/>
              </w:rPr>
              <w:t>(1)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4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Intersegment</w:t>
            </w:r>
          </w:p>
        </w:tc>
        <w:tc>
          <w:tcPr>
            <w:tcW w:w="200" w:type="dxa"/>
            <w:vAlign w:val="bottom"/>
          </w:tcPr>
          <w:p>
            <w:pPr>
              <w:spacing w:after="0"/>
              <w:rPr>
                <w:sz w:val="16"/>
                <w:szCs w:val="16"/>
                <w:color w:val="auto"/>
              </w:rPr>
            </w:pPr>
          </w:p>
        </w:tc>
        <w:tc>
          <w:tcPr>
            <w:tcW w:w="680" w:type="dxa"/>
            <w:vAlign w:val="bottom"/>
            <w:vMerge w:val="restart"/>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59"/>
        </w:trPr>
        <w:tc>
          <w:tcPr>
            <w:tcW w:w="256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2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tcPr>
          <w:p>
            <w:pPr>
              <w:jc w:val="center"/>
              <w:ind w:right="240"/>
              <w:spacing w:after="0" w:line="139" w:lineRule="exact"/>
              <w:rPr>
                <w:sz w:val="20"/>
                <w:szCs w:val="20"/>
                <w:color w:val="auto"/>
              </w:rPr>
            </w:pPr>
            <w:r>
              <w:rPr>
                <w:rFonts w:ascii="Times New Roman" w:cs="Times New Roman" w:eastAsia="Times New Roman" w:hAnsi="Times New Roman"/>
                <w:sz w:val="13"/>
                <w:szCs w:val="13"/>
                <w:b w:val="1"/>
                <w:bCs w:val="1"/>
                <w:color w:val="auto"/>
              </w:rPr>
              <w:t xml:space="preserve">Eliminations </w:t>
            </w:r>
            <w:r>
              <w:rPr>
                <w:rFonts w:ascii="Times New Roman" w:cs="Times New Roman" w:eastAsia="Times New Roman" w:hAnsi="Times New Roman"/>
                <w:sz w:val="16"/>
                <w:szCs w:val="16"/>
                <w:b w:val="1"/>
                <w:bCs w:val="1"/>
                <w:color w:val="auto"/>
                <w:vertAlign w:val="superscript"/>
              </w:rPr>
              <w:t>(2)</w:t>
            </w:r>
          </w:p>
        </w:tc>
        <w:tc>
          <w:tcPr>
            <w:tcW w:w="2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25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center"/>
              <w:ind w:left="193"/>
              <w:spacing w:after="0"/>
              <w:rPr>
                <w:sz w:val="20"/>
                <w:szCs w:val="20"/>
                <w:color w:val="auto"/>
              </w:rPr>
            </w:pPr>
            <w:r>
              <w:rPr>
                <w:rFonts w:ascii="Times New Roman" w:cs="Times New Roman" w:eastAsia="Times New Roman" w:hAnsi="Times New Roman"/>
                <w:sz w:val="18"/>
                <w:szCs w:val="18"/>
                <w:color w:val="auto"/>
                <w:w w:val="98"/>
              </w:rPr>
              <w:t>690.5</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298.3</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1,717.3</w:t>
            </w:r>
          </w:p>
        </w:tc>
        <w:tc>
          <w:tcPr>
            <w:tcW w:w="0" w:type="dxa"/>
            <w:vAlign w:val="bottom"/>
          </w:tcPr>
          <w:p>
            <w:pPr>
              <w:spacing w:after="0"/>
              <w:rPr>
                <w:sz w:val="1"/>
                <w:szCs w:val="1"/>
                <w:color w:val="auto"/>
              </w:rPr>
            </w:pPr>
          </w:p>
        </w:tc>
      </w:tr>
      <w:tr>
        <w:trPr>
          <w:trHeight w:val="219"/>
        </w:trPr>
        <w:tc>
          <w:tcPr>
            <w:tcW w:w="2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shd w:val="clear" w:color="auto" w:fill="CCEEFF"/>
          </w:tcPr>
          <w:p>
            <w:pPr>
              <w:spacing w:after="0"/>
              <w:rPr>
                <w:sz w:val="20"/>
                <w:szCs w:val="20"/>
                <w:color w:val="auto"/>
              </w:rPr>
            </w:pPr>
          </w:p>
        </w:tc>
        <w:tc>
          <w:tcPr>
            <w:tcW w:w="2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Gaming taxes</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center"/>
              <w:ind w:left="153"/>
              <w:spacing w:after="0"/>
              <w:rPr>
                <w:sz w:val="20"/>
                <w:szCs w:val="20"/>
                <w:color w:val="auto"/>
              </w:rPr>
            </w:pPr>
            <w:r>
              <w:rPr>
                <w:rFonts w:ascii="Times New Roman" w:cs="Times New Roman" w:eastAsia="Times New Roman" w:hAnsi="Times New Roman"/>
                <w:sz w:val="18"/>
                <w:szCs w:val="18"/>
                <w:color w:val="auto"/>
                <w:w w:val="98"/>
              </w:rPr>
              <w:t>(281.8)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(78.2)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20" w:type="dxa"/>
            <w:vAlign w:val="bottom"/>
          </w:tcPr>
          <w:p>
            <w:pPr>
              <w:spacing w:after="0"/>
              <w:rPr>
                <w:sz w:val="20"/>
                <w:szCs w:val="20"/>
                <w:color w:val="auto"/>
              </w:rPr>
            </w:pPr>
          </w:p>
        </w:tc>
        <w:tc>
          <w:tcPr>
            <w:tcW w:w="840" w:type="dxa"/>
            <w:vAlign w:val="bottom"/>
          </w:tcPr>
          <w:p>
            <w:pPr>
              <w:jc w:val="center"/>
              <w:ind w:left="153"/>
              <w:spacing w:after="0"/>
              <w:rPr>
                <w:sz w:val="20"/>
                <w:szCs w:val="20"/>
                <w:color w:val="auto"/>
              </w:rPr>
            </w:pPr>
            <w:r>
              <w:rPr>
                <w:rFonts w:ascii="Times New Roman" w:cs="Times New Roman" w:eastAsia="Times New Roman" w:hAnsi="Times New Roman"/>
                <w:sz w:val="18"/>
                <w:szCs w:val="18"/>
                <w:color w:val="auto"/>
                <w:w w:val="98"/>
              </w:rPr>
              <w:t>(104.0)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0" w:type="dxa"/>
            <w:vAlign w:val="bottom"/>
            <w:shd w:val="clear" w:color="auto" w:fill="CCEEFF"/>
          </w:tcPr>
          <w:p>
            <w:pPr>
              <w:spacing w:after="0"/>
              <w:rPr>
                <w:sz w:val="20"/>
                <w:szCs w:val="20"/>
                <w:color w:val="auto"/>
              </w:rPr>
            </w:pPr>
          </w:p>
        </w:tc>
        <w:tc>
          <w:tcPr>
            <w:tcW w:w="2540" w:type="dxa"/>
            <w:vAlign w:val="bottom"/>
            <w:gridSpan w:val="2"/>
            <w:shd w:val="clear" w:color="auto" w:fill="CCEEFF"/>
          </w:tcPr>
          <w:p>
            <w:pPr>
              <w:ind w:left="120"/>
              <w:spacing w:after="0" w:line="239" w:lineRule="exact"/>
              <w:rPr>
                <w:sz w:val="20"/>
                <w:szCs w:val="20"/>
                <w:color w:val="auto"/>
              </w:rPr>
            </w:pPr>
            <w:r>
              <w:rPr>
                <w:rFonts w:ascii="Times New Roman" w:cs="Times New Roman" w:eastAsia="Times New Roman" w:hAnsi="Times New Roman"/>
                <w:sz w:val="18"/>
                <w:szCs w:val="18"/>
                <w:color w:val="auto"/>
              </w:rPr>
              <w:t xml:space="preserve">Media and advertising </w:t>
            </w:r>
            <w:r>
              <w:rPr>
                <w:rFonts w:ascii="Times New Roman" w:cs="Times New Roman" w:eastAsia="Times New Roman" w:hAnsi="Times New Roman"/>
                <w:sz w:val="23"/>
                <w:szCs w:val="23"/>
                <w:color w:val="auto"/>
                <w:vertAlign w:val="superscript"/>
              </w:rPr>
              <w:t>(3)</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0" w:type="dxa"/>
            <w:vAlign w:val="bottom"/>
            <w:tcBorders>
              <w:bottom w:val="single" w:sz="8" w:color="CCEEFF"/>
            </w:tcBorders>
          </w:tcPr>
          <w:p>
            <w:pPr>
              <w:spacing w:after="0"/>
              <w:rPr>
                <w:sz w:val="20"/>
                <w:szCs w:val="20"/>
                <w:color w:val="auto"/>
              </w:rPr>
            </w:pPr>
          </w:p>
        </w:tc>
        <w:tc>
          <w:tcPr>
            <w:tcW w:w="2540" w:type="dxa"/>
            <w:vAlign w:val="bottom"/>
            <w:tcBorders>
              <w:bottom w:val="single" w:sz="8" w:color="CCEEFF"/>
            </w:tcBorders>
            <w:gridSpan w:val="2"/>
          </w:tcPr>
          <w:p>
            <w:pPr>
              <w:ind w:left="120"/>
              <w:spacing w:after="0" w:line="239"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(4)</w:t>
            </w: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left="153"/>
              <w:spacing w:after="0"/>
              <w:rPr>
                <w:sz w:val="20"/>
                <w:szCs w:val="20"/>
                <w:color w:val="auto"/>
              </w:rPr>
            </w:pPr>
            <w:r>
              <w:rPr>
                <w:rFonts w:ascii="Times New Roman" w:cs="Times New Roman" w:eastAsia="Times New Roman" w:hAnsi="Times New Roman"/>
                <w:sz w:val="18"/>
                <w:szCs w:val="18"/>
                <w:color w:val="auto"/>
                <w:w w:val="98"/>
              </w:rPr>
              <w:t>(106.8)</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7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2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560" w:type="dxa"/>
            <w:vAlign w:val="bottom"/>
            <w:tcBorders>
              <w:bottom w:val="single" w:sz="8" w:color="CCEEFF"/>
            </w:tcBorders>
            <w:gridSpan w:val="3"/>
            <w:shd w:val="clear" w:color="auto" w:fill="CCEEFF"/>
          </w:tcPr>
          <w:p>
            <w:pPr>
              <w:ind w:left="20"/>
              <w:spacing w:after="0" w:line="232" w:lineRule="exact"/>
              <w:rPr>
                <w:sz w:val="20"/>
                <w:szCs w:val="20"/>
                <w:color w:val="auto"/>
              </w:rPr>
            </w:pPr>
            <w:r>
              <w:rPr>
                <w:rFonts w:ascii="Times New Roman" w:cs="Times New Roman" w:eastAsia="Times New Roman" w:hAnsi="Times New Roman"/>
                <w:sz w:val="18"/>
                <w:szCs w:val="18"/>
                <w:b w:val="1"/>
                <w:bCs w:val="1"/>
                <w:color w:val="auto"/>
              </w:rPr>
              <w:t xml:space="preserve">Segment Adjusted EBITDAR </w:t>
            </w:r>
            <w:r>
              <w:rPr>
                <w:rFonts w:ascii="Times New Roman" w:cs="Times New Roman" w:eastAsia="Times New Roman" w:hAnsi="Times New Roman"/>
                <w:sz w:val="23"/>
                <w:szCs w:val="23"/>
                <w:b w:val="1"/>
                <w:bCs w:val="1"/>
                <w:color w:val="auto"/>
                <w:vertAlign w:val="superscript"/>
              </w:rPr>
              <w:t>(5)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center"/>
              <w:ind w:left="193"/>
              <w:spacing w:after="0"/>
              <w:rPr>
                <w:sz w:val="20"/>
                <w:szCs w:val="20"/>
                <w:color w:val="auto"/>
              </w:rPr>
            </w:pPr>
            <w:r>
              <w:rPr>
                <w:rFonts w:ascii="Times New Roman" w:cs="Times New Roman" w:eastAsia="Times New Roman" w:hAnsi="Times New Roman"/>
                <w:sz w:val="18"/>
                <w:szCs w:val="18"/>
                <w:color w:val="auto"/>
                <w:w w:val="98"/>
              </w:rPr>
              <w:t>197.9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119.1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780" w:type="dxa"/>
            <w:vAlign w:val="bottom"/>
            <w:gridSpan w:val="10"/>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780" w:type="dxa"/>
            <w:vAlign w:val="bottom"/>
            <w:gridSpan w:val="10"/>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operating benefits (costs) and other income (expenses):</w:t>
            </w: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540" w:type="dxa"/>
            <w:vAlign w:val="bottom"/>
            <w:gridSpan w:val="2"/>
          </w:tcPr>
          <w:p>
            <w:pPr>
              <w:ind w:left="200"/>
              <w:spacing w:after="0" w:line="239" w:lineRule="exact"/>
              <w:rPr>
                <w:sz w:val="20"/>
                <w:szCs w:val="20"/>
                <w:color w:val="auto"/>
              </w:rPr>
            </w:pPr>
            <w:r>
              <w:rPr>
                <w:rFonts w:ascii="Times New Roman" w:cs="Times New Roman" w:eastAsia="Times New Roman" w:hAnsi="Times New Roman"/>
                <w:sz w:val="18"/>
                <w:szCs w:val="18"/>
                <w:color w:val="auto"/>
              </w:rPr>
              <w:t xml:space="preserve">Other category </w:t>
            </w:r>
            <w:r>
              <w:rPr>
                <w:rFonts w:ascii="Times New Roman" w:cs="Times New Roman" w:eastAsia="Times New Roman" w:hAnsi="Times New Roman"/>
                <w:sz w:val="23"/>
                <w:szCs w:val="23"/>
                <w:color w:val="auto"/>
                <w:vertAlign w:val="superscript"/>
              </w:rPr>
              <w:t>(6)</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39"/>
        </w:trPr>
        <w:tc>
          <w:tcPr>
            <w:tcW w:w="20" w:type="dxa"/>
            <w:vAlign w:val="bottom"/>
            <w:shd w:val="clear" w:color="auto" w:fill="CCEEFF"/>
          </w:tcPr>
          <w:p>
            <w:pPr>
              <w:spacing w:after="0"/>
              <w:rPr>
                <w:sz w:val="20"/>
                <w:szCs w:val="20"/>
                <w:color w:val="auto"/>
              </w:rPr>
            </w:pPr>
          </w:p>
        </w:tc>
        <w:tc>
          <w:tcPr>
            <w:tcW w:w="4560" w:type="dxa"/>
            <w:vAlign w:val="bottom"/>
            <w:gridSpan w:val="8"/>
            <w:shd w:val="clear" w:color="auto" w:fill="CCEEFF"/>
          </w:tcPr>
          <w:p>
            <w:pPr>
              <w:ind w:left="200"/>
              <w:spacing w:after="0" w:line="239" w:lineRule="exact"/>
              <w:rPr>
                <w:sz w:val="20"/>
                <w:szCs w:val="20"/>
                <w:color w:val="auto"/>
              </w:rPr>
            </w:pPr>
            <w:r>
              <w:rPr>
                <w:rFonts w:ascii="Times New Roman" w:cs="Times New Roman" w:eastAsia="Times New Roman" w:hAnsi="Times New Roman"/>
                <w:sz w:val="18"/>
                <w:szCs w:val="18"/>
                <w:color w:val="auto"/>
              </w:rPr>
              <w:t xml:space="preserve">Rent expense associated with triple net operating leases </w:t>
            </w:r>
            <w:r>
              <w:rPr>
                <w:rFonts w:ascii="Times New Roman" w:cs="Times New Roman" w:eastAsia="Times New Roman" w:hAnsi="Times New Roman"/>
                <w:sz w:val="23"/>
                <w:szCs w:val="23"/>
                <w:color w:val="auto"/>
                <w:vertAlign w:val="superscript"/>
              </w:rPr>
              <w:t>(7)</w:t>
            </w: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39"/>
        </w:trPr>
        <w:tc>
          <w:tcPr>
            <w:tcW w:w="20" w:type="dxa"/>
            <w:vAlign w:val="bottom"/>
            <w:shd w:val="clear" w:color="auto" w:fill="CCEEFF"/>
          </w:tcPr>
          <w:p>
            <w:pPr>
              <w:spacing w:after="0"/>
              <w:rPr>
                <w:sz w:val="20"/>
                <w:szCs w:val="20"/>
                <w:color w:val="auto"/>
              </w:rPr>
            </w:pPr>
          </w:p>
        </w:tc>
        <w:tc>
          <w:tcPr>
            <w:tcW w:w="3600" w:type="dxa"/>
            <w:vAlign w:val="bottom"/>
            <w:gridSpan w:val="5"/>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Cash-settled stock-based awards variance</w:t>
            </w: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Pre-opening expenses</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39"/>
        </w:trPr>
        <w:tc>
          <w:tcPr>
            <w:tcW w:w="20" w:type="dxa"/>
            <w:vAlign w:val="bottom"/>
            <w:shd w:val="clear" w:color="auto" w:fill="CCEEFF"/>
          </w:tcPr>
          <w:p>
            <w:pPr>
              <w:spacing w:after="0"/>
              <w:rPr>
                <w:sz w:val="20"/>
                <w:szCs w:val="20"/>
                <w:color w:val="auto"/>
              </w:rPr>
            </w:pPr>
          </w:p>
        </w:tc>
        <w:tc>
          <w:tcPr>
            <w:tcW w:w="2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540" w:type="dxa"/>
            <w:vAlign w:val="bottom"/>
            <w:gridSpan w:val="2"/>
          </w:tcPr>
          <w:p>
            <w:pPr>
              <w:ind w:left="200"/>
              <w:spacing w:after="0" w:line="239" w:lineRule="exact"/>
              <w:rPr>
                <w:sz w:val="20"/>
                <w:szCs w:val="20"/>
                <w:color w:val="auto"/>
              </w:rPr>
            </w:pPr>
            <w:r>
              <w:rPr>
                <w:rFonts w:ascii="Times New Roman" w:cs="Times New Roman" w:eastAsia="Times New Roman" w:hAnsi="Times New Roman"/>
                <w:sz w:val="18"/>
                <w:szCs w:val="18"/>
                <w:color w:val="auto"/>
              </w:rPr>
              <w:t xml:space="preserve">Impairment loss </w:t>
            </w:r>
            <w:r>
              <w:rPr>
                <w:rFonts w:ascii="Times New Roman" w:cs="Times New Roman" w:eastAsia="Times New Roman" w:hAnsi="Times New Roman"/>
                <w:sz w:val="23"/>
                <w:szCs w:val="23"/>
                <w:color w:val="auto"/>
                <w:vertAlign w:val="superscript"/>
              </w:rPr>
              <w:t>(8)</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(825.0)</w:t>
            </w:r>
          </w:p>
        </w:tc>
        <w:tc>
          <w:tcPr>
            <w:tcW w:w="0" w:type="dxa"/>
            <w:vAlign w:val="bottom"/>
          </w:tcPr>
          <w:p>
            <w:pPr>
              <w:spacing w:after="0"/>
              <w:rPr>
                <w:sz w:val="1"/>
                <w:szCs w:val="1"/>
                <w:color w:val="auto"/>
              </w:rPr>
            </w:pPr>
          </w:p>
        </w:tc>
      </w:tr>
      <w:tr>
        <w:trPr>
          <w:trHeight w:val="239"/>
        </w:trPr>
        <w:tc>
          <w:tcPr>
            <w:tcW w:w="20" w:type="dxa"/>
            <w:vAlign w:val="bottom"/>
            <w:shd w:val="clear" w:color="auto" w:fill="CCEEFF"/>
          </w:tcPr>
          <w:p>
            <w:pPr>
              <w:spacing w:after="0"/>
              <w:rPr>
                <w:sz w:val="20"/>
                <w:szCs w:val="20"/>
                <w:color w:val="auto"/>
              </w:rPr>
            </w:pPr>
          </w:p>
        </w:tc>
        <w:tc>
          <w:tcPr>
            <w:tcW w:w="4560" w:type="dxa"/>
            <w:vAlign w:val="bottom"/>
            <w:gridSpan w:val="8"/>
            <w:shd w:val="clear" w:color="auto" w:fill="CCEEFF"/>
          </w:tcPr>
          <w:p>
            <w:pPr>
              <w:ind w:left="200"/>
              <w:spacing w:after="0" w:line="239" w:lineRule="exact"/>
              <w:rPr>
                <w:sz w:val="20"/>
                <w:szCs w:val="20"/>
                <w:color w:val="auto"/>
              </w:rPr>
            </w:pPr>
            <w:r>
              <w:rPr>
                <w:rFonts w:ascii="Times New Roman" w:cs="Times New Roman" w:eastAsia="Times New Roman" w:hAnsi="Times New Roman"/>
                <w:sz w:val="18"/>
                <w:szCs w:val="18"/>
                <w:color w:val="auto"/>
              </w:rPr>
              <w:t xml:space="preserve">Non-operating items of equity method investments </w:t>
            </w:r>
            <w:r>
              <w:rPr>
                <w:rFonts w:ascii="Times New Roman" w:cs="Times New Roman" w:eastAsia="Times New Roman" w:hAnsi="Times New Roman"/>
                <w:sz w:val="23"/>
                <w:szCs w:val="23"/>
                <w:color w:val="auto"/>
                <w:vertAlign w:val="superscript"/>
              </w:rPr>
              <w:t>(9)</w:t>
            </w: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0" w:type="dxa"/>
            <w:vAlign w:val="bottom"/>
          </w:tcPr>
          <w:p>
            <w:pPr>
              <w:spacing w:after="0"/>
              <w:rPr>
                <w:sz w:val="1"/>
                <w:szCs w:val="1"/>
                <w:color w:val="auto"/>
              </w:rPr>
            </w:pPr>
          </w:p>
        </w:tc>
      </w:tr>
      <w:tr>
        <w:trPr>
          <w:trHeight w:val="239"/>
        </w:trPr>
        <w:tc>
          <w:tcPr>
            <w:tcW w:w="20" w:type="dxa"/>
            <w:vAlign w:val="bottom"/>
            <w:shd w:val="clear" w:color="auto" w:fill="CCEEFF"/>
          </w:tcPr>
          <w:p>
            <w:pPr>
              <w:spacing w:after="0"/>
              <w:rPr>
                <w:sz w:val="20"/>
                <w:szCs w:val="20"/>
                <w:color w:val="auto"/>
              </w:rPr>
            </w:pPr>
          </w:p>
        </w:tc>
        <w:tc>
          <w:tcPr>
            <w:tcW w:w="2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9"/>
        </w:trPr>
        <w:tc>
          <w:tcPr>
            <w:tcW w:w="20" w:type="dxa"/>
            <w:vAlign w:val="bottom"/>
            <w:tcBorders>
              <w:bottom w:val="single" w:sz="8" w:color="CCEEFF"/>
            </w:tcBorders>
          </w:tcPr>
          <w:p>
            <w:pPr>
              <w:spacing w:after="0"/>
              <w:rPr>
                <w:sz w:val="20"/>
                <w:szCs w:val="20"/>
                <w:color w:val="auto"/>
              </w:rPr>
            </w:pPr>
          </w:p>
        </w:tc>
        <w:tc>
          <w:tcPr>
            <w:tcW w:w="254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CCEEFF"/>
            </w:tcBorders>
          </w:tcPr>
          <w:p>
            <w:pPr>
              <w:spacing w:after="0"/>
              <w:rPr>
                <w:sz w:val="20"/>
                <w:szCs w:val="20"/>
                <w:color w:val="auto"/>
              </w:rPr>
            </w:pPr>
          </w:p>
        </w:tc>
        <w:tc>
          <w:tcPr>
            <w:tcW w:w="8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7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6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7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1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7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2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2"/>
        </w:trPr>
        <w:tc>
          <w:tcPr>
            <w:tcW w:w="25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(859.8)</w:t>
            </w:r>
          </w:p>
        </w:tc>
        <w:tc>
          <w:tcPr>
            <w:tcW w:w="0" w:type="dxa"/>
            <w:vAlign w:val="bottom"/>
          </w:tcPr>
          <w:p>
            <w:pPr>
              <w:spacing w:after="0"/>
              <w:rPr>
                <w:sz w:val="1"/>
                <w:szCs w:val="1"/>
                <w:color w:val="auto"/>
              </w:rPr>
            </w:pPr>
          </w:p>
        </w:tc>
      </w:tr>
      <w:tr>
        <w:trPr>
          <w:trHeight w:val="239"/>
        </w:trPr>
        <w:tc>
          <w:tcPr>
            <w:tcW w:w="25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tcBorders>
              <w:bottom w:val="single" w:sz="8" w:color="CCEEFF"/>
            </w:tcBorders>
          </w:tcPr>
          <w:p>
            <w:pPr>
              <w:spacing w:after="0"/>
              <w:rPr>
                <w:sz w:val="20"/>
                <w:szCs w:val="20"/>
                <w:color w:val="auto"/>
              </w:rPr>
            </w:pPr>
          </w:p>
        </w:tc>
        <w:tc>
          <w:tcPr>
            <w:tcW w:w="8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7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6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7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1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7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2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57"/>
        </w:trPr>
        <w:tc>
          <w:tcPr>
            <w:tcW w:w="25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ind w:left="640" w:right="180" w:hanging="315"/>
        <w:spacing w:after="0" w:line="291" w:lineRule="auto"/>
        <w:tabs>
          <w:tab w:leader="none" w:pos="632"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Revenues and gaming taxes expense within the Interactive segment are inclusive of gaming tax reimbursement amounts related to third-party OSB and/or iCasino partners for OSB and iCasino market access of $139.5 million for the three months ended September 30, 2025.</w:t>
      </w:r>
    </w:p>
    <w:p>
      <w:pPr>
        <w:spacing w:after="0" w:line="8" w:lineRule="exact"/>
        <w:rPr>
          <w:rFonts w:ascii="Times New Roman" w:cs="Times New Roman" w:eastAsia="Times New Roman" w:hAnsi="Times New Roman"/>
          <w:sz w:val="14"/>
          <w:szCs w:val="14"/>
          <w:color w:val="auto"/>
        </w:rPr>
      </w:pPr>
    </w:p>
    <w:p>
      <w:pPr>
        <w:ind w:left="640" w:hanging="315"/>
        <w:spacing w:after="0"/>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represents the elimination of intersegment revenues associated with our retail sportsbooks, which are operated by PENN Interactive.</w:t>
      </w:r>
    </w:p>
    <w:p>
      <w:pPr>
        <w:spacing w:after="0" w:line="64" w:lineRule="exact"/>
        <w:rPr>
          <w:rFonts w:ascii="Times New Roman" w:cs="Times New Roman" w:eastAsia="Times New Roman" w:hAnsi="Times New Roman"/>
          <w:sz w:val="14"/>
          <w:szCs w:val="14"/>
          <w:color w:val="auto"/>
        </w:rPr>
      </w:pPr>
    </w:p>
    <w:p>
      <w:pPr>
        <w:ind w:left="640" w:right="260" w:hanging="315"/>
        <w:spacing w:after="0" w:line="264" w:lineRule="auto"/>
        <w:tabs>
          <w:tab w:leader="none" w:pos="632"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advertising expenses of $37.5 million related to the Sportsbook Agreement and $14.5 million related to the Investment Agreement with ESPN. Also, includes advertising and media expenses across various platforms for the Hollywood-branded iCasino, theScore Bet, and theScore iCasino apps. Such platforms include television, radio, out-of-home, social media, both paid and organic search, as well as sponsorships and media costs associated with partnerships with major sports leagues, and other professional sports teams.</w:t>
      </w:r>
    </w:p>
    <w:p>
      <w:pPr>
        <w:spacing w:after="0" w:line="26" w:lineRule="exact"/>
        <w:rPr>
          <w:rFonts w:ascii="Times New Roman" w:cs="Times New Roman" w:eastAsia="Times New Roman" w:hAnsi="Times New Roman"/>
          <w:sz w:val="14"/>
          <w:szCs w:val="14"/>
          <w:color w:val="auto"/>
        </w:rPr>
      </w:pPr>
    </w:p>
    <w:p>
      <w:pPr>
        <w:ind w:left="640" w:hanging="315"/>
        <w:spacing w:after="0"/>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each reportable segment, the Other segment items category includes:</w:t>
      </w:r>
    </w:p>
    <w:p>
      <w:pPr>
        <w:spacing w:after="0" w:line="64" w:lineRule="exact"/>
        <w:rPr>
          <w:rFonts w:ascii="Times New Roman" w:cs="Times New Roman" w:eastAsia="Times New Roman" w:hAnsi="Times New Roman"/>
          <w:sz w:val="14"/>
          <w:szCs w:val="14"/>
          <w:color w:val="auto"/>
        </w:rPr>
      </w:pPr>
    </w:p>
    <w:p>
      <w:pPr>
        <w:ind w:left="1280" w:right="580" w:hanging="318"/>
        <w:spacing w:after="0" w:line="291" w:lineRule="auto"/>
        <w:tabs>
          <w:tab w:leader="none" w:pos="1272"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Northeast segment - cost of goods sold, professional services, legal expenses, facility maintenance, utilities, supplies, property and liability insurance, advertising and promotional expenses, property taxes, sales and use taxes, other taxes and fees, non-REIT lease expenses, and allocated corporate expenses.</w:t>
      </w:r>
    </w:p>
    <w:p>
      <w:pPr>
        <w:spacing w:after="0" w:line="8" w:lineRule="exact"/>
        <w:rPr>
          <w:rFonts w:ascii="Times New Roman" w:cs="Times New Roman" w:eastAsia="Times New Roman" w:hAnsi="Times New Roman"/>
          <w:sz w:val="14"/>
          <w:szCs w:val="14"/>
          <w:color w:val="auto"/>
        </w:rPr>
      </w:pPr>
    </w:p>
    <w:p>
      <w:pPr>
        <w:ind w:left="1280" w:right="80" w:hanging="318"/>
        <w:spacing w:after="0" w:line="272" w:lineRule="auto"/>
        <w:tabs>
          <w:tab w:leader="none" w:pos="1280"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South segment - cost of goods sold, professional services, legal expenses, facility maintenance, utilities, supplies, property and liability insurance, advertising and promotional expenses, property taxes, sales and use taxes, other taxes and fees, non-REIT lease expenses, allocated corporate expenses, and third-party revenue share fees.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179705</wp:posOffset>
            </wp:positionV>
            <wp:extent cx="716026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280" w:right="120" w:hanging="318"/>
        <w:spacing w:after="0" w:line="291" w:lineRule="auto"/>
        <w:tabs>
          <w:tab w:leader="none" w:pos="1272"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West segment - cost of goods sold, professional services, legal expenses, facility maintenance, utilities, supplies, property and liability insurance, advertising and promotional expenses, property taxes, sales and use taxes, other taxes and fees, non-REIT lease expenses, and allocated corporate expenses.</w:t>
      </w:r>
    </w:p>
    <w:p>
      <w:pPr>
        <w:spacing w:after="0" w:line="8" w:lineRule="exact"/>
        <w:rPr>
          <w:rFonts w:ascii="Times New Roman" w:cs="Times New Roman" w:eastAsia="Times New Roman" w:hAnsi="Times New Roman"/>
          <w:sz w:val="14"/>
          <w:szCs w:val="14"/>
          <w:color w:val="auto"/>
        </w:rPr>
      </w:pPr>
    </w:p>
    <w:p>
      <w:pPr>
        <w:ind w:left="1280" w:right="280" w:hanging="318"/>
        <w:spacing w:after="0" w:line="291" w:lineRule="auto"/>
        <w:tabs>
          <w:tab w:leader="none" w:pos="1280"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Midwest segment - cost of goods sold, professional services, legal expenses, facility maintenance, utilities, supplies, property and liability insurance, advertising and promotional expenses, property taxes, sales and use taxes, other taxes and fees, non-REIT lease expenses, allocated corporate expenses, and third-party revenue share fees.</w:t>
      </w:r>
    </w:p>
    <w:p>
      <w:pPr>
        <w:spacing w:after="0" w:line="8" w:lineRule="exact"/>
        <w:rPr>
          <w:rFonts w:ascii="Times New Roman" w:cs="Times New Roman" w:eastAsia="Times New Roman" w:hAnsi="Times New Roman"/>
          <w:sz w:val="14"/>
          <w:szCs w:val="14"/>
          <w:color w:val="auto"/>
        </w:rPr>
      </w:pPr>
    </w:p>
    <w:p>
      <w:pPr>
        <w:ind w:left="1280" w:right="140" w:hanging="318"/>
        <w:spacing w:after="0" w:line="272" w:lineRule="auto"/>
        <w:tabs>
          <w:tab w:leader="none" w:pos="1272"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Interactive segment - professional services, legal expenses, software subscriptions and maintenance fees, software development costs, utilities, supplies, property and liability insurance, other taxes and fees, lease expenses, allocated corporate expenses, and third-party revenue share fees.</w:t>
      </w:r>
    </w:p>
    <w:p>
      <w:pPr>
        <w:spacing w:after="0" w:line="20" w:lineRule="exact"/>
        <w:rPr>
          <w:rFonts w:ascii="Times New Roman" w:cs="Times New Roman" w:eastAsia="Times New Roman" w:hAnsi="Times New Roman"/>
          <w:sz w:val="14"/>
          <w:szCs w:val="14"/>
          <w:color w:val="auto"/>
        </w:rPr>
      </w:pPr>
    </w:p>
    <w:p>
      <w:pPr>
        <w:ind w:left="640" w:right="60" w:hanging="315"/>
        <w:spacing w:after="0" w:line="261" w:lineRule="auto"/>
        <w:tabs>
          <w:tab w:leader="none" w:pos="632"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define Segment Adjusted EBITDAR as earnings before interest expense, net, interest income, income taxes, depreciation and amortization, rent expense associated with triple net operating leases (see footnote (7) below), stock-based compensation, debt extinguishment charges, impairment losses, insurance recoveries, net of deductible charges, changes in the estimated fair value of our contingent purchase price obligations, gain or loss on disposal of assets, the difference between budget and actual expense for cash-settled stock-based awards, pre-opening expenses, loss on disposal of a business, non-cash gains/losses associated with REIT transactions, and other. Segment Adjusted EBITDAR is also inclusive of income or loss from unconsolidated affiliates, with our share of non-operating items (see footnote (9) below) added back for our Kansas Entertainment joint venture.</w:t>
      </w:r>
    </w:p>
    <w:p>
      <w:pPr>
        <w:spacing w:after="0" w:line="27" w:lineRule="exact"/>
        <w:rPr>
          <w:rFonts w:ascii="Times New Roman" w:cs="Times New Roman" w:eastAsia="Times New Roman" w:hAnsi="Times New Roman"/>
          <w:sz w:val="14"/>
          <w:szCs w:val="14"/>
          <w:color w:val="auto"/>
        </w:rPr>
      </w:pPr>
    </w:p>
    <w:p>
      <w:pPr>
        <w:ind w:left="640" w:right="40" w:hanging="315"/>
        <w:spacing w:after="0" w:line="291" w:lineRule="auto"/>
        <w:tabs>
          <w:tab w:leader="none" w:pos="632"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represents corporate overhead expenses of $34.0 million for the three months ended September 30, 2025, which is inclusive of $3.9 million of legal and advisory costs related to activist activity in connection with our 2025 annual meeting of shareholders.</w:t>
      </w:r>
    </w:p>
    <w:p>
      <w:pPr>
        <w:spacing w:after="0" w:line="8" w:lineRule="exact"/>
        <w:rPr>
          <w:rFonts w:ascii="Times New Roman" w:cs="Times New Roman" w:eastAsia="Times New Roman" w:hAnsi="Times New Roman"/>
          <w:sz w:val="14"/>
          <w:szCs w:val="14"/>
          <w:color w:val="auto"/>
        </w:rPr>
      </w:pPr>
    </w:p>
    <w:p>
      <w:pPr>
        <w:ind w:left="640" w:hanging="315"/>
        <w:spacing w:after="0"/>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Pertains to the following operating leases: (i) AR PENN Master Lease; (ii) 2023 Master Lease; (iii) Margaritaville Lease; and (iv) Greektown Lease.</w:t>
      </w:r>
    </w:p>
    <w:p>
      <w:pPr>
        <w:spacing w:after="0" w:line="51" w:lineRule="exact"/>
        <w:rPr>
          <w:rFonts w:ascii="Times New Roman" w:cs="Times New Roman" w:eastAsia="Times New Roman" w:hAnsi="Times New Roman"/>
          <w:sz w:val="14"/>
          <w:szCs w:val="14"/>
          <w:color w:val="auto"/>
        </w:rPr>
      </w:pPr>
    </w:p>
    <w:p>
      <w:pPr>
        <w:ind w:left="640" w:hanging="315"/>
        <w:spacing w:after="0"/>
        <w:tabs>
          <w:tab w:leader="none" w:pos="640" w:val="left"/>
        </w:tabs>
        <w:numPr>
          <w:ilvl w:val="0"/>
          <w:numId w:val="17"/>
        </w:numPr>
        <w:rPr>
          <w:rFonts w:ascii="Times New Roman" w:cs="Times New Roman" w:eastAsia="Times New Roman" w:hAnsi="Times New Roman"/>
          <w:sz w:val="14"/>
          <w:szCs w:val="14"/>
          <w:color w:val="212529"/>
        </w:rPr>
      </w:pPr>
      <w:r>
        <w:rPr>
          <w:rFonts w:ascii="Times New Roman" w:cs="Times New Roman" w:eastAsia="Times New Roman" w:hAnsi="Times New Roman"/>
          <w:sz w:val="14"/>
          <w:szCs w:val="14"/>
          <w:color w:val="212529"/>
        </w:rPr>
        <w:t>Relates to an impairment charge in our Interactive segment.</w:t>
      </w:r>
    </w:p>
    <w:p>
      <w:pPr>
        <w:spacing w:after="0" w:line="64" w:lineRule="exact"/>
        <w:rPr>
          <w:rFonts w:ascii="Times New Roman" w:cs="Times New Roman" w:eastAsia="Times New Roman" w:hAnsi="Times New Roman"/>
          <w:sz w:val="14"/>
          <w:szCs w:val="14"/>
          <w:color w:val="212529"/>
        </w:rPr>
      </w:pPr>
    </w:p>
    <w:p>
      <w:pPr>
        <w:ind w:left="640" w:hanging="315"/>
        <w:spacing w:after="0"/>
        <w:tabs>
          <w:tab w:leader="none" w:pos="640" w:val="left"/>
        </w:tabs>
        <w:numPr>
          <w:ilvl w:val="0"/>
          <w:numId w:val="17"/>
        </w:numPr>
        <w:rPr>
          <w:rFonts w:ascii="Times New Roman" w:cs="Times New Roman" w:eastAsia="Times New Roman" w:hAnsi="Times New Roman"/>
          <w:sz w:val="14"/>
          <w:szCs w:val="14"/>
          <w:color w:val="212529"/>
        </w:rPr>
      </w:pPr>
      <w:r>
        <w:rPr>
          <w:rFonts w:ascii="Times New Roman" w:cs="Times New Roman" w:eastAsia="Times New Roman" w:hAnsi="Times New Roman"/>
          <w:sz w:val="14"/>
          <w:szCs w:val="14"/>
          <w:color w:val="212529"/>
        </w:rPr>
        <w:t>Consists primarily of depreciation expense associated with our Kansas Entertainment joint venture.</w:t>
      </w:r>
    </w:p>
    <w:p>
      <w:pPr>
        <w:spacing w:after="0" w:line="24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1640205</wp:posOffset>
            </wp:positionH>
            <wp:positionV relativeFrom="paragraph">
              <wp:posOffset>16510</wp:posOffset>
            </wp:positionV>
            <wp:extent cx="54984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498465" cy="8255"/>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Northeast</w:t>
            </w:r>
          </w:p>
        </w:tc>
        <w:tc>
          <w:tcPr>
            <w:tcW w:w="180" w:type="dxa"/>
            <w:vAlign w:val="bottom"/>
          </w:tcPr>
          <w:p>
            <w:pPr>
              <w:spacing w:after="0"/>
              <w:rPr>
                <w:sz w:val="16"/>
                <w:szCs w:val="16"/>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South</w:t>
            </w:r>
          </w:p>
        </w:tc>
        <w:tc>
          <w:tcPr>
            <w:tcW w:w="180" w:type="dxa"/>
            <w:vAlign w:val="bottom"/>
          </w:tcPr>
          <w:p>
            <w:pPr>
              <w:spacing w:after="0"/>
              <w:rPr>
                <w:sz w:val="16"/>
                <w:szCs w:val="16"/>
                <w:color w:val="auto"/>
              </w:rPr>
            </w:pPr>
          </w:p>
        </w:tc>
        <w:tc>
          <w:tcPr>
            <w:tcW w:w="78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West</w:t>
            </w:r>
          </w:p>
        </w:tc>
        <w:tc>
          <w:tcPr>
            <w:tcW w:w="140" w:type="dxa"/>
            <w:vAlign w:val="bottom"/>
          </w:tcPr>
          <w:p>
            <w:pPr>
              <w:spacing w:after="0"/>
              <w:rPr>
                <w:sz w:val="16"/>
                <w:szCs w:val="16"/>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Midwest</w:t>
            </w:r>
          </w:p>
        </w:tc>
        <w:tc>
          <w:tcPr>
            <w:tcW w:w="140" w:type="dxa"/>
            <w:vAlign w:val="bottom"/>
          </w:tcPr>
          <w:p>
            <w:pPr>
              <w:spacing w:after="0"/>
              <w:rPr>
                <w:sz w:val="16"/>
                <w:szCs w:val="16"/>
                <w:color w:val="auto"/>
              </w:rPr>
            </w:pPr>
          </w:p>
        </w:tc>
        <w:tc>
          <w:tcPr>
            <w:tcW w:w="1120" w:type="dxa"/>
            <w:vAlign w:val="bottom"/>
            <w:vMerge w:val="restart"/>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w w:val="97"/>
              </w:rPr>
              <w:t xml:space="preserve">Interactive </w:t>
            </w:r>
            <w:r>
              <w:rPr>
                <w:rFonts w:ascii="Times New Roman" w:cs="Times New Roman" w:eastAsia="Times New Roman" w:hAnsi="Times New Roman"/>
                <w:sz w:val="20"/>
                <w:szCs w:val="20"/>
                <w:b w:val="1"/>
                <w:bCs w:val="1"/>
                <w:color w:val="auto"/>
                <w:w w:val="97"/>
                <w:vertAlign w:val="superscript"/>
              </w:rPr>
              <w:t>(1)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4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Intersegment</w:t>
            </w:r>
          </w:p>
        </w:tc>
        <w:tc>
          <w:tcPr>
            <w:tcW w:w="200" w:type="dxa"/>
            <w:vAlign w:val="bottom"/>
          </w:tcPr>
          <w:p>
            <w:pPr>
              <w:spacing w:after="0"/>
              <w:rPr>
                <w:sz w:val="16"/>
                <w:szCs w:val="16"/>
                <w:color w:val="auto"/>
              </w:rPr>
            </w:pPr>
          </w:p>
        </w:tc>
        <w:tc>
          <w:tcPr>
            <w:tcW w:w="680" w:type="dxa"/>
            <w:vAlign w:val="bottom"/>
            <w:vMerge w:val="restart"/>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59"/>
        </w:trPr>
        <w:tc>
          <w:tcPr>
            <w:tcW w:w="258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2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center"/>
              <w:ind w:right="240"/>
              <w:spacing w:after="0" w:line="139" w:lineRule="exact"/>
              <w:rPr>
                <w:sz w:val="20"/>
                <w:szCs w:val="20"/>
                <w:color w:val="auto"/>
              </w:rPr>
            </w:pPr>
            <w:r>
              <w:rPr>
                <w:rFonts w:ascii="Times New Roman" w:cs="Times New Roman" w:eastAsia="Times New Roman" w:hAnsi="Times New Roman"/>
                <w:sz w:val="13"/>
                <w:szCs w:val="13"/>
                <w:b w:val="1"/>
                <w:bCs w:val="1"/>
                <w:color w:val="auto"/>
              </w:rPr>
              <w:t xml:space="preserve">Eliminations </w:t>
            </w:r>
            <w:r>
              <w:rPr>
                <w:rFonts w:ascii="Times New Roman" w:cs="Times New Roman" w:eastAsia="Times New Roman" w:hAnsi="Times New Roman"/>
                <w:sz w:val="16"/>
                <w:szCs w:val="16"/>
                <w:b w:val="1"/>
                <w:bCs w:val="1"/>
                <w:color w:val="auto"/>
                <w:vertAlign w:val="superscript"/>
              </w:rPr>
              <w:t>(2)</w:t>
            </w:r>
          </w:p>
        </w:tc>
        <w:tc>
          <w:tcPr>
            <w:tcW w:w="2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2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2,127.0</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center"/>
              <w:ind w:left="73"/>
              <w:spacing w:after="0"/>
              <w:rPr>
                <w:sz w:val="20"/>
                <w:szCs w:val="20"/>
                <w:color w:val="auto"/>
              </w:rPr>
            </w:pPr>
            <w:r>
              <w:rPr>
                <w:rFonts w:ascii="Times New Roman" w:cs="Times New Roman" w:eastAsia="Times New Roman" w:hAnsi="Times New Roman"/>
                <w:sz w:val="18"/>
                <w:szCs w:val="18"/>
                <w:color w:val="auto"/>
                <w:w w:val="98"/>
              </w:rPr>
              <w:t>874.9</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center"/>
              <w:ind w:left="133"/>
              <w:spacing w:after="0"/>
              <w:rPr>
                <w:sz w:val="20"/>
                <w:szCs w:val="20"/>
                <w:color w:val="auto"/>
              </w:rPr>
            </w:pPr>
            <w:r>
              <w:rPr>
                <w:rFonts w:ascii="Times New Roman" w:cs="Times New Roman" w:eastAsia="Times New Roman" w:hAnsi="Times New Roman"/>
                <w:sz w:val="18"/>
                <w:szCs w:val="18"/>
                <w:color w:val="auto"/>
                <w:w w:val="98"/>
              </w:rPr>
              <w:t>968.4</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1,056.0</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5,476.4</w:t>
            </w:r>
          </w:p>
        </w:tc>
        <w:tc>
          <w:tcPr>
            <w:tcW w:w="0" w:type="dxa"/>
            <w:vAlign w:val="bottom"/>
          </w:tcPr>
          <w:p>
            <w:pPr>
              <w:spacing w:after="0"/>
              <w:rPr>
                <w:sz w:val="1"/>
                <w:szCs w:val="1"/>
                <w:color w:val="auto"/>
              </w:rPr>
            </w:pPr>
          </w:p>
        </w:tc>
      </w:tr>
      <w:tr>
        <w:trPr>
          <w:trHeight w:val="219"/>
        </w:trPr>
        <w:tc>
          <w:tcPr>
            <w:tcW w:w="2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shd w:val="clear" w:color="auto" w:fill="CCEEFF"/>
          </w:tcPr>
          <w:p>
            <w:pPr>
              <w:spacing w:after="0"/>
              <w:rPr>
                <w:sz w:val="20"/>
                <w:szCs w:val="20"/>
                <w:color w:val="auto"/>
              </w:rPr>
            </w:pPr>
          </w:p>
        </w:tc>
        <w:tc>
          <w:tcPr>
            <w:tcW w:w="2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Gaming taxes</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w w:val="98"/>
              </w:rPr>
              <w:t>(185.9)</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center"/>
              <w:ind w:left="93"/>
              <w:spacing w:after="0"/>
              <w:rPr>
                <w:sz w:val="20"/>
                <w:szCs w:val="20"/>
                <w:color w:val="auto"/>
              </w:rPr>
            </w:pPr>
            <w:r>
              <w:rPr>
                <w:rFonts w:ascii="Times New Roman" w:cs="Times New Roman" w:eastAsia="Times New Roman" w:hAnsi="Times New Roman"/>
                <w:sz w:val="18"/>
                <w:szCs w:val="18"/>
                <w:color w:val="auto"/>
                <w:w w:val="98"/>
              </w:rPr>
              <w:t>(257.1)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(699.4)</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center"/>
              <w:ind w:left="33"/>
              <w:spacing w:after="0"/>
              <w:rPr>
                <w:sz w:val="20"/>
                <w:szCs w:val="20"/>
                <w:color w:val="auto"/>
              </w:rPr>
            </w:pPr>
            <w:r>
              <w:rPr>
                <w:rFonts w:ascii="Times New Roman" w:cs="Times New Roman" w:eastAsia="Times New Roman" w:hAnsi="Times New Roman"/>
                <w:sz w:val="18"/>
                <w:szCs w:val="18"/>
                <w:color w:val="auto"/>
                <w:w w:val="98"/>
              </w:rPr>
              <w:t>(173.4)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center"/>
              <w:ind w:left="93"/>
              <w:spacing w:after="0"/>
              <w:rPr>
                <w:sz w:val="20"/>
                <w:szCs w:val="20"/>
                <w:color w:val="auto"/>
              </w:rPr>
            </w:pPr>
            <w:r>
              <w:rPr>
                <w:rFonts w:ascii="Times New Roman" w:cs="Times New Roman" w:eastAsia="Times New Roman" w:hAnsi="Times New Roman"/>
                <w:sz w:val="18"/>
                <w:szCs w:val="18"/>
                <w:color w:val="auto"/>
                <w:w w:val="98"/>
              </w:rPr>
              <w:t>(154.9)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0" w:type="dxa"/>
            <w:vAlign w:val="bottom"/>
            <w:shd w:val="clear" w:color="auto" w:fill="CCEEFF"/>
          </w:tcPr>
          <w:p>
            <w:pPr>
              <w:spacing w:after="0"/>
              <w:rPr>
                <w:sz w:val="20"/>
                <w:szCs w:val="20"/>
                <w:color w:val="auto"/>
              </w:rPr>
            </w:pPr>
          </w:p>
        </w:tc>
        <w:tc>
          <w:tcPr>
            <w:tcW w:w="2560" w:type="dxa"/>
            <w:vAlign w:val="bottom"/>
            <w:gridSpan w:val="2"/>
            <w:shd w:val="clear" w:color="auto" w:fill="CCEEFF"/>
          </w:tcPr>
          <w:p>
            <w:pPr>
              <w:ind w:left="120"/>
              <w:spacing w:after="0" w:line="239" w:lineRule="exact"/>
              <w:rPr>
                <w:sz w:val="20"/>
                <w:szCs w:val="20"/>
                <w:color w:val="auto"/>
              </w:rPr>
            </w:pPr>
            <w:r>
              <w:rPr>
                <w:rFonts w:ascii="Times New Roman" w:cs="Times New Roman" w:eastAsia="Times New Roman" w:hAnsi="Times New Roman"/>
                <w:sz w:val="18"/>
                <w:szCs w:val="18"/>
                <w:color w:val="auto"/>
              </w:rPr>
              <w:t xml:space="preserve">Media and advertising </w:t>
            </w:r>
            <w:r>
              <w:rPr>
                <w:rFonts w:ascii="Times New Roman" w:cs="Times New Roman" w:eastAsia="Times New Roman" w:hAnsi="Times New Roman"/>
                <w:sz w:val="23"/>
                <w:szCs w:val="23"/>
                <w:color w:val="auto"/>
                <w:vertAlign w:val="superscript"/>
              </w:rPr>
              <w:t>(3)</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0" w:type="dxa"/>
            <w:vAlign w:val="bottom"/>
            <w:tcBorders>
              <w:bottom w:val="single" w:sz="8" w:color="CCEEFF"/>
            </w:tcBorders>
          </w:tcPr>
          <w:p>
            <w:pPr>
              <w:spacing w:after="0"/>
              <w:rPr>
                <w:sz w:val="20"/>
                <w:szCs w:val="20"/>
                <w:color w:val="auto"/>
              </w:rPr>
            </w:pPr>
          </w:p>
        </w:tc>
        <w:tc>
          <w:tcPr>
            <w:tcW w:w="2560" w:type="dxa"/>
            <w:vAlign w:val="bottom"/>
            <w:tcBorders>
              <w:bottom w:val="single" w:sz="8" w:color="CCEEFF"/>
            </w:tcBorders>
            <w:gridSpan w:val="2"/>
          </w:tcPr>
          <w:p>
            <w:pPr>
              <w:ind w:left="120"/>
              <w:spacing w:after="0" w:line="239"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(4)</w:t>
            </w: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(318.7)</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center"/>
              <w:ind w:left="33"/>
              <w:spacing w:after="0"/>
              <w:rPr>
                <w:sz w:val="20"/>
                <w:szCs w:val="20"/>
                <w:color w:val="auto"/>
              </w:rPr>
            </w:pPr>
            <w:r>
              <w:rPr>
                <w:rFonts w:ascii="Times New Roman" w:cs="Times New Roman" w:eastAsia="Times New Roman" w:hAnsi="Times New Roman"/>
                <w:sz w:val="18"/>
                <w:szCs w:val="18"/>
                <w:color w:val="auto"/>
                <w:w w:val="98"/>
              </w:rPr>
              <w:t>(194.1)</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ind w:left="93"/>
              <w:spacing w:after="0"/>
              <w:rPr>
                <w:sz w:val="20"/>
                <w:szCs w:val="20"/>
                <w:color w:val="auto"/>
              </w:rPr>
            </w:pPr>
            <w:r>
              <w:rPr>
                <w:rFonts w:ascii="Times New Roman" w:cs="Times New Roman" w:eastAsia="Times New Roman" w:hAnsi="Times New Roman"/>
                <w:sz w:val="18"/>
                <w:szCs w:val="18"/>
                <w:color w:val="auto"/>
                <w:w w:val="98"/>
              </w:rPr>
              <w:t>(170.2)</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7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2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580" w:type="dxa"/>
            <w:vAlign w:val="bottom"/>
            <w:tcBorders>
              <w:bottom w:val="single" w:sz="8" w:color="CCEEFF"/>
            </w:tcBorders>
            <w:gridSpan w:val="3"/>
            <w:shd w:val="clear" w:color="auto" w:fill="CCEEFF"/>
          </w:tcPr>
          <w:p>
            <w:pPr>
              <w:ind w:left="20"/>
              <w:spacing w:after="0" w:line="232" w:lineRule="exact"/>
              <w:rPr>
                <w:sz w:val="20"/>
                <w:szCs w:val="20"/>
                <w:color w:val="auto"/>
              </w:rPr>
            </w:pPr>
            <w:r>
              <w:rPr>
                <w:rFonts w:ascii="Times New Roman" w:cs="Times New Roman" w:eastAsia="Times New Roman" w:hAnsi="Times New Roman"/>
                <w:sz w:val="18"/>
                <w:szCs w:val="18"/>
                <w:b w:val="1"/>
                <w:bCs w:val="1"/>
                <w:color w:val="auto"/>
              </w:rPr>
              <w:t xml:space="preserve">Segment Adjusted EBITDAR </w:t>
            </w:r>
            <w:r>
              <w:rPr>
                <w:rFonts w:ascii="Times New Roman" w:cs="Times New Roman" w:eastAsia="Times New Roman" w:hAnsi="Times New Roman"/>
                <w:sz w:val="23"/>
                <w:szCs w:val="23"/>
                <w:b w:val="1"/>
                <w:bCs w:val="1"/>
                <w:color w:val="auto"/>
                <w:vertAlign w:val="superscript"/>
              </w:rPr>
              <w:t>(5)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center"/>
              <w:ind w:left="73"/>
              <w:spacing w:after="0"/>
              <w:rPr>
                <w:sz w:val="20"/>
                <w:szCs w:val="20"/>
                <w:color w:val="auto"/>
              </w:rPr>
            </w:pPr>
            <w:r>
              <w:rPr>
                <w:rFonts w:ascii="Times New Roman" w:cs="Times New Roman" w:eastAsia="Times New Roman" w:hAnsi="Times New Roman"/>
                <w:sz w:val="18"/>
                <w:szCs w:val="18"/>
                <w:color w:val="auto"/>
                <w:w w:val="98"/>
              </w:rPr>
              <w:t>321.5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center"/>
              <w:ind w:left="133"/>
              <w:spacing w:after="0"/>
              <w:rPr>
                <w:sz w:val="20"/>
                <w:szCs w:val="20"/>
                <w:color w:val="auto"/>
              </w:rPr>
            </w:pPr>
            <w:r>
              <w:rPr>
                <w:rFonts w:ascii="Times New Roman" w:cs="Times New Roman" w:eastAsia="Times New Roman" w:hAnsi="Times New Roman"/>
                <w:sz w:val="18"/>
                <w:szCs w:val="18"/>
                <w:color w:val="auto"/>
                <w:w w:val="98"/>
              </w:rPr>
              <w:t>386.2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4800" w:type="dxa"/>
            <w:vAlign w:val="bottom"/>
            <w:gridSpan w:val="10"/>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4800" w:type="dxa"/>
            <w:vAlign w:val="bottom"/>
            <w:gridSpan w:val="10"/>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operating benefits (costs) and other income (expenses):</w:t>
            </w: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560" w:type="dxa"/>
            <w:vAlign w:val="bottom"/>
            <w:gridSpan w:val="2"/>
          </w:tcPr>
          <w:p>
            <w:pPr>
              <w:ind w:left="200"/>
              <w:spacing w:after="0" w:line="239" w:lineRule="exact"/>
              <w:rPr>
                <w:sz w:val="20"/>
                <w:szCs w:val="20"/>
                <w:color w:val="auto"/>
              </w:rPr>
            </w:pPr>
            <w:r>
              <w:rPr>
                <w:rFonts w:ascii="Times New Roman" w:cs="Times New Roman" w:eastAsia="Times New Roman" w:hAnsi="Times New Roman"/>
                <w:sz w:val="18"/>
                <w:szCs w:val="18"/>
                <w:color w:val="auto"/>
              </w:rPr>
              <w:t xml:space="preserve">Other category </w:t>
            </w:r>
            <w:r>
              <w:rPr>
                <w:rFonts w:ascii="Times New Roman" w:cs="Times New Roman" w:eastAsia="Times New Roman" w:hAnsi="Times New Roman"/>
                <w:sz w:val="23"/>
                <w:szCs w:val="23"/>
                <w:color w:val="auto"/>
                <w:vertAlign w:val="superscript"/>
              </w:rPr>
              <w:t>(6)</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0" w:type="dxa"/>
            <w:vAlign w:val="bottom"/>
          </w:tcPr>
          <w:p>
            <w:pPr>
              <w:spacing w:after="0"/>
              <w:rPr>
                <w:sz w:val="1"/>
                <w:szCs w:val="1"/>
                <w:color w:val="auto"/>
              </w:rPr>
            </w:pPr>
          </w:p>
        </w:tc>
      </w:tr>
      <w:tr>
        <w:trPr>
          <w:trHeight w:val="239"/>
        </w:trPr>
        <w:tc>
          <w:tcPr>
            <w:tcW w:w="20" w:type="dxa"/>
            <w:vAlign w:val="bottom"/>
            <w:shd w:val="clear" w:color="auto" w:fill="CCEEFF"/>
          </w:tcPr>
          <w:p>
            <w:pPr>
              <w:spacing w:after="0"/>
              <w:rPr>
                <w:sz w:val="20"/>
                <w:szCs w:val="20"/>
                <w:color w:val="auto"/>
              </w:rPr>
            </w:pPr>
          </w:p>
        </w:tc>
        <w:tc>
          <w:tcPr>
            <w:tcW w:w="4600" w:type="dxa"/>
            <w:vAlign w:val="bottom"/>
            <w:gridSpan w:val="8"/>
            <w:shd w:val="clear" w:color="auto" w:fill="CCEEFF"/>
          </w:tcPr>
          <w:p>
            <w:pPr>
              <w:ind w:left="200"/>
              <w:spacing w:after="0" w:line="239" w:lineRule="exact"/>
              <w:rPr>
                <w:sz w:val="20"/>
                <w:szCs w:val="20"/>
                <w:color w:val="auto"/>
              </w:rPr>
            </w:pPr>
            <w:r>
              <w:rPr>
                <w:rFonts w:ascii="Times New Roman" w:cs="Times New Roman" w:eastAsia="Times New Roman" w:hAnsi="Times New Roman"/>
                <w:sz w:val="18"/>
                <w:szCs w:val="18"/>
                <w:color w:val="auto"/>
              </w:rPr>
              <w:t xml:space="preserve">Rent expense associated with triple net operating leases </w:t>
            </w:r>
            <w:r>
              <w:rPr>
                <w:rFonts w:ascii="Times New Roman" w:cs="Times New Roman" w:eastAsia="Times New Roman" w:hAnsi="Times New Roman"/>
                <w:sz w:val="23"/>
                <w:szCs w:val="23"/>
                <w:color w:val="auto"/>
                <w:vertAlign w:val="superscript"/>
              </w:rPr>
              <w:t>(7)</w:t>
            </w: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(494.4)</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39"/>
        </w:trPr>
        <w:tc>
          <w:tcPr>
            <w:tcW w:w="20" w:type="dxa"/>
            <w:vAlign w:val="bottom"/>
            <w:shd w:val="clear" w:color="auto" w:fill="CCEEFF"/>
          </w:tcPr>
          <w:p>
            <w:pPr>
              <w:spacing w:after="0"/>
              <w:rPr>
                <w:sz w:val="20"/>
                <w:szCs w:val="20"/>
                <w:color w:val="auto"/>
              </w:rPr>
            </w:pPr>
          </w:p>
        </w:tc>
        <w:tc>
          <w:tcPr>
            <w:tcW w:w="3620" w:type="dxa"/>
            <w:vAlign w:val="bottom"/>
            <w:gridSpan w:val="5"/>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Cash-settled stock-based awards variance</w:t>
            </w: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Pre-opening expenses</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39"/>
        </w:trPr>
        <w:tc>
          <w:tcPr>
            <w:tcW w:w="20" w:type="dxa"/>
            <w:vAlign w:val="bottom"/>
            <w:shd w:val="clear" w:color="auto" w:fill="CCEEFF"/>
          </w:tcPr>
          <w:p>
            <w:pPr>
              <w:spacing w:after="0"/>
              <w:rPr>
                <w:sz w:val="20"/>
                <w:szCs w:val="20"/>
                <w:color w:val="auto"/>
              </w:rPr>
            </w:pPr>
          </w:p>
        </w:tc>
        <w:tc>
          <w:tcPr>
            <w:tcW w:w="25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(358.6)</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560" w:type="dxa"/>
            <w:vAlign w:val="bottom"/>
            <w:gridSpan w:val="2"/>
          </w:tcPr>
          <w:p>
            <w:pPr>
              <w:ind w:left="200"/>
              <w:spacing w:after="0" w:line="239" w:lineRule="exact"/>
              <w:rPr>
                <w:sz w:val="20"/>
                <w:szCs w:val="20"/>
                <w:color w:val="auto"/>
              </w:rPr>
            </w:pPr>
            <w:r>
              <w:rPr>
                <w:rFonts w:ascii="Times New Roman" w:cs="Times New Roman" w:eastAsia="Times New Roman" w:hAnsi="Times New Roman"/>
                <w:sz w:val="18"/>
                <w:szCs w:val="18"/>
                <w:color w:val="auto"/>
              </w:rPr>
              <w:t xml:space="preserve">Impairment loss </w:t>
            </w:r>
            <w:r>
              <w:rPr>
                <w:rFonts w:ascii="Times New Roman" w:cs="Times New Roman" w:eastAsia="Times New Roman" w:hAnsi="Times New Roman"/>
                <w:sz w:val="23"/>
                <w:szCs w:val="23"/>
                <w:color w:val="auto"/>
                <w:vertAlign w:val="superscript"/>
              </w:rPr>
              <w:t>(8)</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39"/>
        </w:trPr>
        <w:tc>
          <w:tcPr>
            <w:tcW w:w="20" w:type="dxa"/>
            <w:vAlign w:val="bottom"/>
            <w:shd w:val="clear" w:color="auto" w:fill="CCEEFF"/>
          </w:tcPr>
          <w:p>
            <w:pPr>
              <w:spacing w:after="0"/>
              <w:rPr>
                <w:sz w:val="20"/>
                <w:szCs w:val="20"/>
                <w:color w:val="auto"/>
              </w:rPr>
            </w:pPr>
          </w:p>
        </w:tc>
        <w:tc>
          <w:tcPr>
            <w:tcW w:w="4600" w:type="dxa"/>
            <w:vAlign w:val="bottom"/>
            <w:gridSpan w:val="8"/>
            <w:shd w:val="clear" w:color="auto" w:fill="CCEEFF"/>
          </w:tcPr>
          <w:p>
            <w:pPr>
              <w:ind w:left="200"/>
              <w:spacing w:after="0" w:line="239" w:lineRule="exact"/>
              <w:rPr>
                <w:sz w:val="20"/>
                <w:szCs w:val="20"/>
                <w:color w:val="auto"/>
              </w:rPr>
            </w:pPr>
            <w:r>
              <w:rPr>
                <w:rFonts w:ascii="Times New Roman" w:cs="Times New Roman" w:eastAsia="Times New Roman" w:hAnsi="Times New Roman"/>
                <w:sz w:val="18"/>
                <w:szCs w:val="18"/>
                <w:color w:val="auto"/>
              </w:rPr>
              <w:t xml:space="preserve">Non-operating items of equity method investments </w:t>
            </w:r>
            <w:r>
              <w:rPr>
                <w:rFonts w:ascii="Times New Roman" w:cs="Times New Roman" w:eastAsia="Times New Roman" w:hAnsi="Times New Roman"/>
                <w:sz w:val="23"/>
                <w:szCs w:val="23"/>
                <w:color w:val="auto"/>
                <w:vertAlign w:val="superscript"/>
              </w:rPr>
              <w:t>(9)</w:t>
            </w: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0" w:type="dxa"/>
            <w:vAlign w:val="bottom"/>
          </w:tcPr>
          <w:p>
            <w:pPr>
              <w:spacing w:after="0"/>
              <w:rPr>
                <w:sz w:val="1"/>
                <w:szCs w:val="1"/>
                <w:color w:val="auto"/>
              </w:rPr>
            </w:pPr>
          </w:p>
        </w:tc>
      </w:tr>
      <w:tr>
        <w:trPr>
          <w:trHeight w:val="239"/>
        </w:trPr>
        <w:tc>
          <w:tcPr>
            <w:tcW w:w="20" w:type="dxa"/>
            <w:vAlign w:val="bottom"/>
            <w:shd w:val="clear" w:color="auto" w:fill="CCEEFF"/>
          </w:tcPr>
          <w:p>
            <w:pPr>
              <w:spacing w:after="0"/>
              <w:rPr>
                <w:sz w:val="20"/>
                <w:szCs w:val="20"/>
                <w:color w:val="auto"/>
              </w:rPr>
            </w:pPr>
          </w:p>
        </w:tc>
        <w:tc>
          <w:tcPr>
            <w:tcW w:w="25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62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9"/>
        </w:trPr>
        <w:tc>
          <w:tcPr>
            <w:tcW w:w="20" w:type="dxa"/>
            <w:vAlign w:val="bottom"/>
            <w:shd w:val="clear" w:color="auto" w:fill="CCEEFF"/>
          </w:tcPr>
          <w:p>
            <w:pPr>
              <w:spacing w:after="0"/>
              <w:rPr>
                <w:sz w:val="20"/>
                <w:szCs w:val="20"/>
                <w:color w:val="auto"/>
              </w:rPr>
            </w:pPr>
          </w:p>
        </w:tc>
        <w:tc>
          <w:tcPr>
            <w:tcW w:w="2560" w:type="dxa"/>
            <w:vAlign w:val="bottom"/>
            <w:gridSpan w:val="2"/>
            <w:shd w:val="clear" w:color="auto" w:fill="CCEEFF"/>
          </w:tcPr>
          <w:p>
            <w:pPr>
              <w:ind w:left="200"/>
              <w:spacing w:after="0" w:line="239"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(10)</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232"/>
        </w:trPr>
        <w:tc>
          <w:tcPr>
            <w:tcW w:w="25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0" w:type="dxa"/>
            <w:vAlign w:val="bottom"/>
          </w:tcPr>
          <w:p>
            <w:pPr>
              <w:spacing w:after="0"/>
              <w:rPr>
                <w:sz w:val="1"/>
                <w:szCs w:val="1"/>
                <w:color w:val="auto"/>
              </w:rPr>
            </w:pPr>
          </w:p>
        </w:tc>
      </w:tr>
      <w:tr>
        <w:trPr>
          <w:trHeight w:val="239"/>
        </w:trPr>
        <w:tc>
          <w:tcPr>
            <w:tcW w:w="2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32"/>
        </w:trPr>
        <w:tc>
          <w:tcPr>
            <w:tcW w:w="25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ind w:left="640" w:right="180" w:hanging="315"/>
        <w:spacing w:after="0" w:line="287" w:lineRule="auto"/>
        <w:tabs>
          <w:tab w:leader="none" w:pos="632"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Revenues and gaming taxes expense within the Interactive segment are inclusive of gaming tax reimbursement amounts related to third-party OSB and/or iCasino partners for OSB and iCasino market access of $562.7 million for the nine months ended September 30, 2026.</w:t>
      </w:r>
    </w:p>
    <w:p>
      <w:pPr>
        <w:ind w:left="640" w:hanging="315"/>
        <w:spacing w:after="0"/>
        <w:tabs>
          <w:tab w:leader="none" w:pos="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represents the elimination of intersegment revenues associated with our retail sportsbooks, which are operated by PENN Interactive.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179705</wp:posOffset>
            </wp:positionV>
            <wp:extent cx="716026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40" w:right="40" w:hanging="315"/>
        <w:spacing w:after="0" w:line="274" w:lineRule="auto"/>
        <w:tabs>
          <w:tab w:leader="none" w:pos="632"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advertising and media expenses across various platforms for the Hollywood-branded iCasino, theScore Bet, and theScore iCasino apps. Such platforms include television, radio, out-of-home, social media, both paid and organic search, as well as sponsorships and media costs associated with partnerships with major sports leagues, and other professional sports teams.</w:t>
      </w:r>
    </w:p>
    <w:p>
      <w:pPr>
        <w:spacing w:after="0" w:line="19" w:lineRule="exact"/>
        <w:rPr>
          <w:rFonts w:ascii="Times New Roman" w:cs="Times New Roman" w:eastAsia="Times New Roman" w:hAnsi="Times New Roman"/>
          <w:sz w:val="14"/>
          <w:szCs w:val="14"/>
          <w:color w:val="auto"/>
        </w:rPr>
      </w:pPr>
    </w:p>
    <w:p>
      <w:pPr>
        <w:ind w:left="640" w:hanging="315"/>
        <w:spacing w:after="0"/>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each reportable segment, the Other segment items category includes:</w:t>
      </w:r>
    </w:p>
    <w:p>
      <w:pPr>
        <w:spacing w:after="0" w:line="64" w:lineRule="exact"/>
        <w:rPr>
          <w:rFonts w:ascii="Times New Roman" w:cs="Times New Roman" w:eastAsia="Times New Roman" w:hAnsi="Times New Roman"/>
          <w:sz w:val="14"/>
          <w:szCs w:val="14"/>
          <w:color w:val="auto"/>
        </w:rPr>
      </w:pPr>
    </w:p>
    <w:p>
      <w:pPr>
        <w:ind w:left="1280" w:right="220" w:hanging="318"/>
        <w:spacing w:after="0" w:line="272" w:lineRule="auto"/>
        <w:tabs>
          <w:tab w:leader="none" w:pos="1272"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Northeast segment - cost of goods sold, professional services, legal expenses, facility maintenance, utilities, supplies, property and liability insurance, advertising and promotional expenses, property taxes, sales and use taxes, other taxes and fees, non-REIT lease expenses, allocated corporate expenses, and third-party revenue share fees.</w:t>
      </w:r>
    </w:p>
    <w:p>
      <w:pPr>
        <w:spacing w:after="0" w:line="20" w:lineRule="exact"/>
        <w:rPr>
          <w:rFonts w:ascii="Times New Roman" w:cs="Times New Roman" w:eastAsia="Times New Roman" w:hAnsi="Times New Roman"/>
          <w:sz w:val="14"/>
          <w:szCs w:val="14"/>
          <w:color w:val="auto"/>
        </w:rPr>
      </w:pPr>
    </w:p>
    <w:p>
      <w:pPr>
        <w:ind w:left="1280" w:right="20" w:hanging="318"/>
        <w:spacing w:after="0" w:line="291" w:lineRule="auto"/>
        <w:tabs>
          <w:tab w:leader="none" w:pos="1280"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South segment - cost of goods sold, professional services, legal expenses, facility maintenance, utilities, supplies, property and liability insurance, advertising and promotional expenses, property taxes, sales and use taxes, other taxes and fees, non-REIT lease expenses, allocated corporate expenses, and third-party revenue share fees.</w:t>
      </w:r>
    </w:p>
    <w:p>
      <w:pPr>
        <w:spacing w:after="0" w:line="8" w:lineRule="exact"/>
        <w:rPr>
          <w:rFonts w:ascii="Times New Roman" w:cs="Times New Roman" w:eastAsia="Times New Roman" w:hAnsi="Times New Roman"/>
          <w:sz w:val="14"/>
          <w:szCs w:val="14"/>
          <w:color w:val="auto"/>
        </w:rPr>
      </w:pPr>
    </w:p>
    <w:p>
      <w:pPr>
        <w:ind w:left="1280" w:right="60" w:hanging="318"/>
        <w:spacing w:after="0" w:line="287" w:lineRule="auto"/>
        <w:tabs>
          <w:tab w:leader="none" w:pos="1272"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West segment - cost of goods sold, professional services, legal expenses, facility maintenance, utilities, supplies, property and liability insurance, advertising and promotional expenses, property taxes, sales and use taxes, other taxes and fees, non-REIT lease expenses, allocated corporate expenses, and third-party revenue share fees.</w:t>
      </w:r>
    </w:p>
    <w:p>
      <w:pPr>
        <w:ind w:left="1280" w:right="220" w:hanging="318"/>
        <w:spacing w:after="0" w:line="291" w:lineRule="auto"/>
        <w:tabs>
          <w:tab w:leader="none" w:pos="1280"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Midwest segment - cost of goods sold, professional services, legal expenses, facility maintenance, utilities, supplies, property and liability insurance, advertising and promotional expenses, property taxes, sales and use taxes, other taxes and fees, non-REIT lease expenses, allocated corporate expenses, and third-party revenue share fees.</w:t>
      </w:r>
    </w:p>
    <w:p>
      <w:pPr>
        <w:spacing w:after="0" w:line="8" w:lineRule="exact"/>
        <w:rPr>
          <w:rFonts w:ascii="Times New Roman" w:cs="Times New Roman" w:eastAsia="Times New Roman" w:hAnsi="Times New Roman"/>
          <w:sz w:val="14"/>
          <w:szCs w:val="14"/>
          <w:color w:val="auto"/>
        </w:rPr>
      </w:pPr>
    </w:p>
    <w:p>
      <w:pPr>
        <w:ind w:left="1280" w:right="80" w:hanging="318"/>
        <w:spacing w:after="0" w:line="287" w:lineRule="auto"/>
        <w:tabs>
          <w:tab w:leader="none" w:pos="1272"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Interactive segment - professional services, legal expenses, software subscriptions and maintenance fees, software development costs, utilities, supplies, property and liability insurance, other taxes and fees, lease expenses, allocated corporate expenses, and third-party revenue share fees.</w:t>
      </w:r>
    </w:p>
    <w:p>
      <w:pPr>
        <w:ind w:left="640" w:hanging="315"/>
        <w:spacing w:after="0" w:line="266" w:lineRule="auto"/>
        <w:tabs>
          <w:tab w:leader="none" w:pos="632"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define Segment Adjusted EBITDAR as earnings before interest expense, net, interest income, income taxes, depreciation and amortization, rent expense associated with triple net operating leases (see footnote (7) below), stock-based compensation, debt extinguishment charges, impairment losses, insurance recoveries, net of deductible charges, changes in the estimated fair value of our contingent purchase price obligations, gain or loss on disposal of assets, the difference between budget and actual expense for cash-settled stock-based awards, pre-opening expenses, loss on disposal of a business, non-cash gains/losses associated with REIT transactions, and other. Segment Adjusted EBITDAR is also inclusive of income or loss from unconsolidated affiliates, with our share of non-operating items (see footnote (9) below) added back for our Kansas Entertainment joint venture.</w:t>
      </w:r>
    </w:p>
    <w:p>
      <w:pPr>
        <w:spacing w:after="0" w:line="10" w:lineRule="exact"/>
        <w:rPr>
          <w:rFonts w:ascii="Times New Roman" w:cs="Times New Roman" w:eastAsia="Times New Roman" w:hAnsi="Times New Roman"/>
          <w:sz w:val="14"/>
          <w:szCs w:val="14"/>
          <w:color w:val="auto"/>
        </w:rPr>
      </w:pPr>
    </w:p>
    <w:p>
      <w:pPr>
        <w:ind w:left="640" w:hanging="315"/>
        <w:spacing w:after="0"/>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represents corporate overhead expenses of $88.1 million for the nine months ended September 30, 2026.</w:t>
      </w:r>
    </w:p>
    <w:p>
      <w:pPr>
        <w:spacing w:after="0" w:line="64" w:lineRule="exact"/>
        <w:rPr>
          <w:rFonts w:ascii="Times New Roman" w:cs="Times New Roman" w:eastAsia="Times New Roman" w:hAnsi="Times New Roman"/>
          <w:sz w:val="14"/>
          <w:szCs w:val="14"/>
          <w:color w:val="auto"/>
        </w:rPr>
      </w:pPr>
    </w:p>
    <w:p>
      <w:pPr>
        <w:ind w:left="640" w:hanging="315"/>
        <w:spacing w:after="0"/>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Pertains to the following operating leases: (i) AR PENN Master Lease; (ii) 2023 Master Lease; and (iii) VICI Master Lease.</w:t>
      </w:r>
    </w:p>
    <w:p>
      <w:pPr>
        <w:spacing w:after="0" w:line="64" w:lineRule="exact"/>
        <w:rPr>
          <w:rFonts w:ascii="Times New Roman" w:cs="Times New Roman" w:eastAsia="Times New Roman" w:hAnsi="Times New Roman"/>
          <w:sz w:val="14"/>
          <w:szCs w:val="14"/>
          <w:color w:val="auto"/>
        </w:rPr>
      </w:pPr>
    </w:p>
    <w:p>
      <w:pPr>
        <w:ind w:left="640" w:hanging="315"/>
        <w:spacing w:after="0"/>
        <w:tabs>
          <w:tab w:leader="none" w:pos="640" w:val="left"/>
        </w:tabs>
        <w:numPr>
          <w:ilvl w:val="0"/>
          <w:numId w:val="19"/>
        </w:numPr>
        <w:rPr>
          <w:rFonts w:ascii="Times New Roman" w:cs="Times New Roman" w:eastAsia="Times New Roman" w:hAnsi="Times New Roman"/>
          <w:sz w:val="14"/>
          <w:szCs w:val="14"/>
          <w:color w:val="212529"/>
        </w:rPr>
      </w:pPr>
      <w:r>
        <w:rPr>
          <w:rFonts w:ascii="Times New Roman" w:cs="Times New Roman" w:eastAsia="Times New Roman" w:hAnsi="Times New Roman"/>
          <w:sz w:val="14"/>
          <w:szCs w:val="14"/>
          <w:color w:val="212529"/>
        </w:rPr>
        <w:t>Relates to an impairment charge in our South segment.</w:t>
      </w:r>
    </w:p>
    <w:p>
      <w:pPr>
        <w:spacing w:after="0" w:line="64" w:lineRule="exact"/>
        <w:rPr>
          <w:rFonts w:ascii="Times New Roman" w:cs="Times New Roman" w:eastAsia="Times New Roman" w:hAnsi="Times New Roman"/>
          <w:sz w:val="14"/>
          <w:szCs w:val="14"/>
          <w:color w:val="212529"/>
        </w:rPr>
      </w:pPr>
    </w:p>
    <w:p>
      <w:pPr>
        <w:ind w:left="640" w:hanging="315"/>
        <w:spacing w:after="0"/>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primarily of depreciation expense associated with our Kansas Entertainment joint venture.</w:t>
      </w:r>
    </w:p>
    <w:p>
      <w:pPr>
        <w:spacing w:after="0" w:line="64" w:lineRule="exact"/>
        <w:rPr>
          <w:rFonts w:ascii="Times New Roman" w:cs="Times New Roman" w:eastAsia="Times New Roman" w:hAnsi="Times New Roman"/>
          <w:sz w:val="14"/>
          <w:szCs w:val="14"/>
          <w:color w:val="auto"/>
        </w:rPr>
      </w:pPr>
    </w:p>
    <w:p>
      <w:pPr>
        <w:ind w:left="640" w:right="200" w:hanging="315"/>
        <w:spacing w:after="0" w:line="264" w:lineRule="auto"/>
        <w:tabs>
          <w:tab w:leader="none" w:pos="637" w:val="left"/>
        </w:tabs>
        <w:numPr>
          <w:ilvl w:val="0"/>
          <w:numId w:val="19"/>
        </w:numPr>
        <w:rPr>
          <w:rFonts w:ascii="Times New Roman" w:cs="Times New Roman" w:eastAsia="Times New Roman" w:hAnsi="Times New Roman"/>
          <w:sz w:val="14"/>
          <w:szCs w:val="14"/>
          <w:color w:val="212529"/>
        </w:rPr>
      </w:pPr>
      <w:r>
        <w:rPr>
          <w:rFonts w:ascii="Times New Roman" w:cs="Times New Roman" w:eastAsia="Times New Roman" w:hAnsi="Times New Roman"/>
          <w:sz w:val="14"/>
          <w:szCs w:val="14"/>
          <w:color w:val="auto"/>
        </w:rPr>
        <w:t>For the nine months ended September 30, 2026, other primarily consisted of transaction costs, non-recurring restructuring charges (primarily severance) related to the Company’s new corporate organizational structure, and settlement costs and related legal and advisory fees associated with the Cooperation Agreement with HG Vora Capital Management, LLC and related parties.</w:t>
      </w:r>
    </w:p>
    <w:p>
      <w:pPr>
        <w:spacing w:after="0" w:line="200" w:lineRule="exact"/>
        <w:rPr>
          <w:sz w:val="20"/>
          <w:szCs w:val="20"/>
          <w:color w:val="auto"/>
        </w:rPr>
      </w:pPr>
    </w:p>
    <w:p>
      <w:pPr>
        <w:spacing w:after="0" w:line="3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179705</wp:posOffset>
            </wp:positionV>
            <wp:extent cx="716026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1623060</wp:posOffset>
            </wp:positionH>
            <wp:positionV relativeFrom="paragraph">
              <wp:posOffset>16510</wp:posOffset>
            </wp:positionV>
            <wp:extent cx="551561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15610" cy="8255"/>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Northeast</w:t>
            </w:r>
          </w:p>
        </w:tc>
        <w:tc>
          <w:tcPr>
            <w:tcW w:w="160" w:type="dxa"/>
            <w:vAlign w:val="bottom"/>
          </w:tcPr>
          <w:p>
            <w:pPr>
              <w:spacing w:after="0"/>
              <w:rPr>
                <w:sz w:val="16"/>
                <w:szCs w:val="16"/>
                <w:color w:val="auto"/>
              </w:rPr>
            </w:pPr>
          </w:p>
        </w:tc>
        <w:tc>
          <w:tcPr>
            <w:tcW w:w="8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South</w:t>
            </w:r>
          </w:p>
        </w:tc>
        <w:tc>
          <w:tcPr>
            <w:tcW w:w="200" w:type="dxa"/>
            <w:vAlign w:val="bottom"/>
          </w:tcPr>
          <w:p>
            <w:pPr>
              <w:spacing w:after="0"/>
              <w:rPr>
                <w:sz w:val="16"/>
                <w:szCs w:val="16"/>
                <w:color w:val="auto"/>
              </w:rPr>
            </w:pPr>
          </w:p>
        </w:tc>
        <w:tc>
          <w:tcPr>
            <w:tcW w:w="78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West</w:t>
            </w:r>
          </w:p>
        </w:tc>
        <w:tc>
          <w:tcPr>
            <w:tcW w:w="120" w:type="dxa"/>
            <w:vAlign w:val="bottom"/>
          </w:tcPr>
          <w:p>
            <w:pPr>
              <w:spacing w:after="0"/>
              <w:rPr>
                <w:sz w:val="16"/>
                <w:szCs w:val="16"/>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Midwest</w:t>
            </w:r>
          </w:p>
        </w:tc>
        <w:tc>
          <w:tcPr>
            <w:tcW w:w="140" w:type="dxa"/>
            <w:vAlign w:val="bottom"/>
          </w:tcPr>
          <w:p>
            <w:pPr>
              <w:spacing w:after="0"/>
              <w:rPr>
                <w:sz w:val="16"/>
                <w:szCs w:val="16"/>
                <w:color w:val="auto"/>
              </w:rPr>
            </w:pP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 xml:space="preserve">Interactive </w:t>
            </w:r>
            <w:r>
              <w:rPr>
                <w:rFonts w:ascii="Times New Roman" w:cs="Times New Roman" w:eastAsia="Times New Roman" w:hAnsi="Times New Roman"/>
                <w:sz w:val="20"/>
                <w:szCs w:val="20"/>
                <w:b w:val="1"/>
                <w:bCs w:val="1"/>
                <w:color w:val="auto"/>
                <w:vertAlign w:val="superscript"/>
              </w:rPr>
              <w:t>(1)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4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Intersegment</w:t>
            </w:r>
          </w:p>
        </w:tc>
        <w:tc>
          <w:tcPr>
            <w:tcW w:w="20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59"/>
        </w:trPr>
        <w:tc>
          <w:tcPr>
            <w:tcW w:w="256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2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tcPr>
          <w:p>
            <w:pPr>
              <w:jc w:val="center"/>
              <w:ind w:right="240"/>
              <w:spacing w:after="0" w:line="139" w:lineRule="exact"/>
              <w:rPr>
                <w:sz w:val="20"/>
                <w:szCs w:val="20"/>
                <w:color w:val="auto"/>
              </w:rPr>
            </w:pPr>
            <w:r>
              <w:rPr>
                <w:rFonts w:ascii="Times New Roman" w:cs="Times New Roman" w:eastAsia="Times New Roman" w:hAnsi="Times New Roman"/>
                <w:sz w:val="13"/>
                <w:szCs w:val="13"/>
                <w:b w:val="1"/>
                <w:bCs w:val="1"/>
                <w:color w:val="auto"/>
              </w:rPr>
              <w:t xml:space="preserve">Eliminations </w:t>
            </w:r>
            <w:r>
              <w:rPr>
                <w:rFonts w:ascii="Times New Roman" w:cs="Times New Roman" w:eastAsia="Times New Roman" w:hAnsi="Times New Roman"/>
                <w:sz w:val="16"/>
                <w:szCs w:val="16"/>
                <w:b w:val="1"/>
                <w:bCs w:val="1"/>
                <w:color w:val="auto"/>
                <w:vertAlign w:val="superscript"/>
              </w:rPr>
              <w:t>(2)</w:t>
            </w:r>
          </w:p>
        </w:tc>
        <w:tc>
          <w:tcPr>
            <w:tcW w:w="2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25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2,083.0</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center"/>
              <w:ind w:left="93"/>
              <w:spacing w:after="0"/>
              <w:rPr>
                <w:sz w:val="20"/>
                <w:szCs w:val="20"/>
                <w:color w:val="auto"/>
              </w:rPr>
            </w:pPr>
            <w:r>
              <w:rPr>
                <w:rFonts w:ascii="Times New Roman" w:cs="Times New Roman" w:eastAsia="Times New Roman" w:hAnsi="Times New Roman"/>
                <w:sz w:val="18"/>
                <w:szCs w:val="18"/>
                <w:color w:val="auto"/>
                <w:w w:val="98"/>
              </w:rPr>
              <w:t>881.5</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405.7</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center"/>
              <w:ind w:left="133"/>
              <w:spacing w:after="0"/>
              <w:rPr>
                <w:sz w:val="20"/>
                <w:szCs w:val="20"/>
                <w:color w:val="auto"/>
              </w:rPr>
            </w:pPr>
            <w:r>
              <w:rPr>
                <w:rFonts w:ascii="Times New Roman" w:cs="Times New Roman" w:eastAsia="Times New Roman" w:hAnsi="Times New Roman"/>
                <w:sz w:val="18"/>
                <w:szCs w:val="18"/>
                <w:color w:val="auto"/>
                <w:w w:val="98"/>
              </w:rPr>
              <w:t>878.2</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center"/>
              <w:ind w:left="473"/>
              <w:spacing w:after="0"/>
              <w:rPr>
                <w:sz w:val="20"/>
                <w:szCs w:val="20"/>
                <w:color w:val="auto"/>
              </w:rPr>
            </w:pPr>
            <w:r>
              <w:rPr>
                <w:rFonts w:ascii="Times New Roman" w:cs="Times New Roman" w:eastAsia="Times New Roman" w:hAnsi="Times New Roman"/>
                <w:sz w:val="18"/>
                <w:szCs w:val="18"/>
                <w:color w:val="auto"/>
                <w:w w:val="98"/>
              </w:rPr>
              <w:t>903.9</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5,154.8</w:t>
            </w:r>
          </w:p>
        </w:tc>
        <w:tc>
          <w:tcPr>
            <w:tcW w:w="0" w:type="dxa"/>
            <w:vAlign w:val="bottom"/>
          </w:tcPr>
          <w:p>
            <w:pPr>
              <w:spacing w:after="0"/>
              <w:rPr>
                <w:sz w:val="1"/>
                <w:szCs w:val="1"/>
                <w:color w:val="auto"/>
              </w:rPr>
            </w:pPr>
          </w:p>
        </w:tc>
      </w:tr>
      <w:tr>
        <w:trPr>
          <w:trHeight w:val="219"/>
        </w:trPr>
        <w:tc>
          <w:tcPr>
            <w:tcW w:w="2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shd w:val="clear" w:color="auto" w:fill="CCEEFF"/>
          </w:tcPr>
          <w:p>
            <w:pPr>
              <w:spacing w:after="0"/>
              <w:rPr>
                <w:sz w:val="20"/>
                <w:szCs w:val="20"/>
                <w:color w:val="auto"/>
              </w:rPr>
            </w:pPr>
          </w:p>
        </w:tc>
        <w:tc>
          <w:tcPr>
            <w:tcW w:w="2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Gaming taxes</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center"/>
              <w:ind w:left="53"/>
              <w:spacing w:after="0"/>
              <w:rPr>
                <w:sz w:val="20"/>
                <w:szCs w:val="20"/>
                <w:color w:val="auto"/>
              </w:rPr>
            </w:pPr>
            <w:r>
              <w:rPr>
                <w:rFonts w:ascii="Times New Roman" w:cs="Times New Roman" w:eastAsia="Times New Roman" w:hAnsi="Times New Roman"/>
                <w:sz w:val="18"/>
                <w:szCs w:val="18"/>
                <w:color w:val="auto"/>
                <w:w w:val="98"/>
              </w:rPr>
              <w:t>(187.5)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(74.4)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center"/>
              <w:ind w:left="93"/>
              <w:spacing w:after="0"/>
              <w:rPr>
                <w:sz w:val="20"/>
                <w:szCs w:val="20"/>
                <w:color w:val="auto"/>
              </w:rPr>
            </w:pPr>
            <w:r>
              <w:rPr>
                <w:rFonts w:ascii="Times New Roman" w:cs="Times New Roman" w:eastAsia="Times New Roman" w:hAnsi="Times New Roman"/>
                <w:sz w:val="18"/>
                <w:szCs w:val="18"/>
                <w:color w:val="auto"/>
                <w:w w:val="98"/>
              </w:rPr>
              <w:t>(231.7)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center"/>
              <w:ind w:left="453"/>
              <w:spacing w:after="0"/>
              <w:rPr>
                <w:sz w:val="20"/>
                <w:szCs w:val="20"/>
                <w:color w:val="auto"/>
              </w:rPr>
            </w:pPr>
            <w:r>
              <w:rPr>
                <w:rFonts w:ascii="Times New Roman" w:cs="Times New Roman" w:eastAsia="Times New Roman" w:hAnsi="Times New Roman"/>
                <w:sz w:val="18"/>
                <w:szCs w:val="18"/>
                <w:color w:val="auto"/>
                <w:w w:val="95"/>
              </w:rPr>
              <w:t>(540.2)</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center"/>
              <w:ind w:left="53"/>
              <w:spacing w:after="0"/>
              <w:rPr>
                <w:sz w:val="20"/>
                <w:szCs w:val="20"/>
                <w:color w:val="auto"/>
              </w:rPr>
            </w:pPr>
            <w:r>
              <w:rPr>
                <w:rFonts w:ascii="Times New Roman" w:cs="Times New Roman" w:eastAsia="Times New Roman" w:hAnsi="Times New Roman"/>
                <w:sz w:val="18"/>
                <w:szCs w:val="18"/>
                <w:color w:val="auto"/>
                <w:w w:val="98"/>
              </w:rPr>
              <w:t>(177.2)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(94.2)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center"/>
              <w:ind w:left="93"/>
              <w:spacing w:after="0"/>
              <w:rPr>
                <w:sz w:val="20"/>
                <w:szCs w:val="20"/>
                <w:color w:val="auto"/>
              </w:rPr>
            </w:pPr>
            <w:r>
              <w:rPr>
                <w:rFonts w:ascii="Times New Roman" w:cs="Times New Roman" w:eastAsia="Times New Roman" w:hAnsi="Times New Roman"/>
                <w:sz w:val="18"/>
                <w:szCs w:val="18"/>
                <w:color w:val="auto"/>
                <w:w w:val="98"/>
              </w:rPr>
              <w:t>(135.7)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center"/>
              <w:ind w:left="453"/>
              <w:spacing w:after="0"/>
              <w:rPr>
                <w:sz w:val="20"/>
                <w:szCs w:val="20"/>
                <w:color w:val="auto"/>
              </w:rPr>
            </w:pPr>
            <w:r>
              <w:rPr>
                <w:rFonts w:ascii="Times New Roman" w:cs="Times New Roman" w:eastAsia="Times New Roman" w:hAnsi="Times New Roman"/>
                <w:sz w:val="18"/>
                <w:szCs w:val="18"/>
                <w:color w:val="auto"/>
                <w:w w:val="95"/>
              </w:rPr>
              <w:t>(106.2)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0" w:type="dxa"/>
            <w:vAlign w:val="bottom"/>
            <w:shd w:val="clear" w:color="auto" w:fill="CCEEFF"/>
          </w:tcPr>
          <w:p>
            <w:pPr>
              <w:spacing w:after="0"/>
              <w:rPr>
                <w:sz w:val="20"/>
                <w:szCs w:val="20"/>
                <w:color w:val="auto"/>
              </w:rPr>
            </w:pPr>
          </w:p>
        </w:tc>
        <w:tc>
          <w:tcPr>
            <w:tcW w:w="2540" w:type="dxa"/>
            <w:vAlign w:val="bottom"/>
            <w:gridSpan w:val="2"/>
            <w:shd w:val="clear" w:color="auto" w:fill="CCEEFF"/>
          </w:tcPr>
          <w:p>
            <w:pPr>
              <w:ind w:left="120"/>
              <w:spacing w:after="0" w:line="239" w:lineRule="exact"/>
              <w:rPr>
                <w:sz w:val="20"/>
                <w:szCs w:val="20"/>
                <w:color w:val="auto"/>
              </w:rPr>
            </w:pPr>
            <w:r>
              <w:rPr>
                <w:rFonts w:ascii="Times New Roman" w:cs="Times New Roman" w:eastAsia="Times New Roman" w:hAnsi="Times New Roman"/>
                <w:sz w:val="18"/>
                <w:szCs w:val="18"/>
                <w:color w:val="auto"/>
              </w:rPr>
              <w:t xml:space="preserve">Media and advertising </w:t>
            </w:r>
            <w:r>
              <w:rPr>
                <w:rFonts w:ascii="Times New Roman" w:cs="Times New Roman" w:eastAsia="Times New Roman" w:hAnsi="Times New Roman"/>
                <w:sz w:val="23"/>
                <w:szCs w:val="23"/>
                <w:color w:val="auto"/>
                <w:vertAlign w:val="superscript"/>
              </w:rPr>
              <w:t>(3)</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center"/>
              <w:ind w:left="453"/>
              <w:spacing w:after="0"/>
              <w:rPr>
                <w:sz w:val="20"/>
                <w:szCs w:val="20"/>
                <w:color w:val="auto"/>
              </w:rPr>
            </w:pPr>
            <w:r>
              <w:rPr>
                <w:rFonts w:ascii="Times New Roman" w:cs="Times New Roman" w:eastAsia="Times New Roman" w:hAnsi="Times New Roman"/>
                <w:sz w:val="18"/>
                <w:szCs w:val="18"/>
                <w:color w:val="auto"/>
                <w:w w:val="95"/>
              </w:rPr>
              <w:t>(235.0)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0" w:type="dxa"/>
            <w:vAlign w:val="bottom"/>
            <w:tcBorders>
              <w:bottom w:val="single" w:sz="8" w:color="CCEEFF"/>
            </w:tcBorders>
          </w:tcPr>
          <w:p>
            <w:pPr>
              <w:spacing w:after="0"/>
              <w:rPr>
                <w:sz w:val="20"/>
                <w:szCs w:val="20"/>
                <w:color w:val="auto"/>
              </w:rPr>
            </w:pPr>
          </w:p>
        </w:tc>
        <w:tc>
          <w:tcPr>
            <w:tcW w:w="2540" w:type="dxa"/>
            <w:vAlign w:val="bottom"/>
            <w:tcBorders>
              <w:bottom w:val="single" w:sz="8" w:color="CCEEFF"/>
            </w:tcBorders>
            <w:gridSpan w:val="2"/>
          </w:tcPr>
          <w:p>
            <w:pPr>
              <w:ind w:left="120"/>
              <w:spacing w:after="0" w:line="239"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(4)</w:t>
            </w: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(318.6)</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center"/>
              <w:ind w:left="53"/>
              <w:spacing w:after="0"/>
              <w:rPr>
                <w:sz w:val="20"/>
                <w:szCs w:val="20"/>
                <w:color w:val="auto"/>
              </w:rPr>
            </w:pPr>
            <w:r>
              <w:rPr>
                <w:rFonts w:ascii="Times New Roman" w:cs="Times New Roman" w:eastAsia="Times New Roman" w:hAnsi="Times New Roman"/>
                <w:sz w:val="18"/>
                <w:szCs w:val="18"/>
                <w:color w:val="auto"/>
                <w:w w:val="98"/>
              </w:rPr>
              <w:t>(211.0)</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(86.8)</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ind w:left="93"/>
              <w:spacing w:after="0"/>
              <w:rPr>
                <w:sz w:val="20"/>
                <w:szCs w:val="20"/>
                <w:color w:val="auto"/>
              </w:rPr>
            </w:pPr>
            <w:r>
              <w:rPr>
                <w:rFonts w:ascii="Times New Roman" w:cs="Times New Roman" w:eastAsia="Times New Roman" w:hAnsi="Times New Roman"/>
                <w:sz w:val="18"/>
                <w:szCs w:val="18"/>
                <w:color w:val="auto"/>
                <w:w w:val="98"/>
              </w:rPr>
              <w:t>(156.1)</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left="453"/>
              <w:spacing w:after="0"/>
              <w:rPr>
                <w:sz w:val="20"/>
                <w:szCs w:val="20"/>
                <w:color w:val="auto"/>
              </w:rPr>
            </w:pPr>
            <w:r>
              <w:rPr>
                <w:rFonts w:ascii="Times New Roman" w:cs="Times New Roman" w:eastAsia="Times New Roman" w:hAnsi="Times New Roman"/>
                <w:sz w:val="18"/>
                <w:szCs w:val="18"/>
                <w:color w:val="auto"/>
                <w:w w:val="95"/>
              </w:rPr>
              <w:t>(250.1)</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7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2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560" w:type="dxa"/>
            <w:vAlign w:val="bottom"/>
            <w:tcBorders>
              <w:bottom w:val="single" w:sz="8" w:color="CCEEFF"/>
            </w:tcBorders>
            <w:gridSpan w:val="3"/>
            <w:shd w:val="clear" w:color="auto" w:fill="CCEEFF"/>
          </w:tcPr>
          <w:p>
            <w:pPr>
              <w:ind w:left="20"/>
              <w:spacing w:after="0" w:line="232" w:lineRule="exact"/>
              <w:rPr>
                <w:sz w:val="20"/>
                <w:szCs w:val="20"/>
                <w:color w:val="auto"/>
              </w:rPr>
            </w:pPr>
            <w:r>
              <w:rPr>
                <w:rFonts w:ascii="Times New Roman" w:cs="Times New Roman" w:eastAsia="Times New Roman" w:hAnsi="Times New Roman"/>
                <w:sz w:val="18"/>
                <w:szCs w:val="18"/>
                <w:b w:val="1"/>
                <w:bCs w:val="1"/>
                <w:color w:val="auto"/>
              </w:rPr>
              <w:t xml:space="preserve">Segment Adjusted EBITDAR </w:t>
            </w:r>
            <w:r>
              <w:rPr>
                <w:rFonts w:ascii="Times New Roman" w:cs="Times New Roman" w:eastAsia="Times New Roman" w:hAnsi="Times New Roman"/>
                <w:sz w:val="23"/>
                <w:szCs w:val="23"/>
                <w:b w:val="1"/>
                <w:bCs w:val="1"/>
                <w:color w:val="auto"/>
                <w:vertAlign w:val="superscript"/>
              </w:rPr>
              <w:t>(5)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center"/>
              <w:ind w:left="93"/>
              <w:spacing w:after="0"/>
              <w:rPr>
                <w:sz w:val="20"/>
                <w:szCs w:val="20"/>
                <w:color w:val="auto"/>
              </w:rPr>
            </w:pPr>
            <w:r>
              <w:rPr>
                <w:rFonts w:ascii="Times New Roman" w:cs="Times New Roman" w:eastAsia="Times New Roman" w:hAnsi="Times New Roman"/>
                <w:sz w:val="18"/>
                <w:szCs w:val="18"/>
                <w:color w:val="auto"/>
                <w:w w:val="98"/>
              </w:rPr>
              <w:t>305.8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150.3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center"/>
              <w:ind w:left="133"/>
              <w:spacing w:after="0"/>
              <w:rPr>
                <w:sz w:val="20"/>
                <w:szCs w:val="20"/>
                <w:color w:val="auto"/>
              </w:rPr>
            </w:pPr>
            <w:r>
              <w:rPr>
                <w:rFonts w:ascii="Times New Roman" w:cs="Times New Roman" w:eastAsia="Times New Roman" w:hAnsi="Times New Roman"/>
                <w:sz w:val="18"/>
                <w:szCs w:val="18"/>
                <w:color w:val="auto"/>
                <w:w w:val="98"/>
              </w:rPr>
              <w:t>354.7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center"/>
              <w:ind w:left="453"/>
              <w:spacing w:after="0"/>
              <w:rPr>
                <w:sz w:val="20"/>
                <w:szCs w:val="20"/>
                <w:color w:val="auto"/>
              </w:rPr>
            </w:pPr>
            <w:r>
              <w:rPr>
                <w:rFonts w:ascii="Times New Roman" w:cs="Times New Roman" w:eastAsia="Times New Roman" w:hAnsi="Times New Roman"/>
                <w:sz w:val="18"/>
                <w:szCs w:val="18"/>
                <w:color w:val="auto"/>
                <w:w w:val="95"/>
              </w:rPr>
              <w:t>(227.6)</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1,184.8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227965</wp:posOffset>
            </wp:positionV>
            <wp:extent cx="7134860" cy="1517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860" cy="15176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3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Other operating benefits (costs) and other income (expenses):</w:t>
      </w:r>
    </w:p>
    <w:p>
      <w:pPr>
        <w:spacing w:after="0" w:line="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 xml:space="preserve">Other category </w:t>
      </w:r>
      <w:r>
        <w:rPr>
          <w:rFonts w:ascii="Times New Roman" w:cs="Times New Roman" w:eastAsia="Times New Roman" w:hAnsi="Times New Roman"/>
          <w:sz w:val="23"/>
          <w:szCs w:val="23"/>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34860" cy="1517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860" cy="151765"/>
                    </a:xfrm>
                    <a:prstGeom prst="rect">
                      <a:avLst/>
                    </a:prstGeom>
                    <a:noFill/>
                  </pic:spPr>
                </pic:pic>
              </a:graphicData>
            </a:graphic>
          </wp:anchor>
        </w:drawing>
      </w:r>
    </w:p>
    <w:p>
      <w:pPr>
        <w:ind w:left="220"/>
        <w:spacing w:after="0" w:line="227" w:lineRule="auto"/>
        <w:rPr>
          <w:sz w:val="20"/>
          <w:szCs w:val="20"/>
          <w:color w:val="auto"/>
        </w:rPr>
      </w:pPr>
      <w:r>
        <w:rPr>
          <w:rFonts w:ascii="Times New Roman" w:cs="Times New Roman" w:eastAsia="Times New Roman" w:hAnsi="Times New Roman"/>
          <w:sz w:val="18"/>
          <w:szCs w:val="18"/>
          <w:color w:val="auto"/>
        </w:rPr>
        <w:t xml:space="preserve">Rent expense associated with triple net operating leases </w:t>
      </w:r>
      <w:r>
        <w:rPr>
          <w:rFonts w:ascii="Times New Roman" w:cs="Times New Roman" w:eastAsia="Times New Roman" w:hAnsi="Times New Roman"/>
          <w:sz w:val="23"/>
          <w:szCs w:val="23"/>
          <w:color w:val="auto"/>
          <w:vertAlign w:val="superscript"/>
        </w:rPr>
        <w:t>(7)</w:t>
      </w:r>
    </w:p>
    <w:p>
      <w:pPr>
        <w:ind w:left="22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2540</wp:posOffset>
            </wp:positionV>
            <wp:extent cx="7134860" cy="1517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4860" cy="151765"/>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18"/>
          <w:szCs w:val="18"/>
          <w:color w:val="auto"/>
        </w:rPr>
        <w:t>Cash-settled stock-based awards variance</w:t>
      </w:r>
    </w:p>
    <w:p>
      <w:pPr>
        <w:spacing w:after="0" w:line="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Pre-opening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134860" cy="1517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4860" cy="151765"/>
                    </a:xfrm>
                    <a:prstGeom prst="rect">
                      <a:avLst/>
                    </a:prstGeom>
                    <a:noFill/>
                  </pic:spPr>
                </pic:pic>
              </a:graphicData>
            </a:graphic>
          </wp:anchor>
        </w:drawing>
      </w:r>
    </w:p>
    <w:p>
      <w:pPr>
        <w:spacing w:after="0" w:line="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1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 xml:space="preserve">Impairment losses </w:t>
      </w:r>
      <w:r>
        <w:rPr>
          <w:rFonts w:ascii="Times New Roman" w:cs="Times New Roman" w:eastAsia="Times New Roman" w:hAnsi="Times New Roman"/>
          <w:sz w:val="23"/>
          <w:szCs w:val="23"/>
          <w:color w:val="auto"/>
          <w:vertAlign w:val="superscript"/>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34860" cy="1517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4860" cy="151765"/>
                    </a:xfrm>
                    <a:prstGeom prst="rect">
                      <a:avLst/>
                    </a:prstGeom>
                    <a:noFill/>
                  </pic:spPr>
                </pic:pic>
              </a:graphicData>
            </a:graphic>
          </wp:anchor>
        </w:drawing>
      </w:r>
    </w:p>
    <w:p>
      <w:pPr>
        <w:ind w:left="220"/>
        <w:spacing w:after="0" w:line="227" w:lineRule="auto"/>
        <w:rPr>
          <w:sz w:val="20"/>
          <w:szCs w:val="20"/>
          <w:color w:val="auto"/>
        </w:rPr>
      </w:pPr>
      <w:r>
        <w:rPr>
          <w:rFonts w:ascii="Times New Roman" w:cs="Times New Roman" w:eastAsia="Times New Roman" w:hAnsi="Times New Roman"/>
          <w:sz w:val="18"/>
          <w:szCs w:val="18"/>
          <w:color w:val="auto"/>
        </w:rPr>
        <w:t xml:space="preserve">Non-operating items of equity method investments </w:t>
      </w:r>
      <w:r>
        <w:rPr>
          <w:rFonts w:ascii="Times New Roman" w:cs="Times New Roman" w:eastAsia="Times New Roman" w:hAnsi="Times New Roman"/>
          <w:sz w:val="23"/>
          <w:szCs w:val="23"/>
          <w:color w:val="auto"/>
          <w:vertAlign w:val="superscript"/>
        </w:rPr>
        <w:t>(9)</w:t>
      </w:r>
    </w:p>
    <w:p>
      <w:pPr>
        <w:ind w:left="220"/>
        <w:spacing w:after="0"/>
        <w:rPr>
          <w:sz w:val="20"/>
          <w:szCs w:val="20"/>
          <w:color w:val="auto"/>
        </w:rPr>
      </w:pPr>
      <w:r>
        <w:rPr>
          <w:rFonts w:ascii="Times New Roman" w:cs="Times New Roman" w:eastAsia="Times New Roman" w:hAnsi="Times New Roman"/>
          <w:sz w:val="18"/>
          <w:szCs w:val="18"/>
          <w:color w:val="auto"/>
        </w:rPr>
        <w:t>Interest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2540</wp:posOffset>
            </wp:positionV>
            <wp:extent cx="7134860" cy="1517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4860" cy="151765"/>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18"/>
          <w:szCs w:val="18"/>
          <w:color w:val="auto"/>
        </w:rPr>
        <w:t>Interest income</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 xml:space="preserve">Gain on financing arrangement </w:t>
      </w:r>
      <w:r>
        <w:rPr>
          <w:rFonts w:ascii="Times New Roman" w:cs="Times New Roman" w:eastAsia="Times New Roman" w:hAnsi="Times New Roman"/>
          <w:sz w:val="23"/>
          <w:szCs w:val="23"/>
          <w:color w:val="auto"/>
          <w:vertAlign w:val="superscript"/>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1517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4860" cy="151765"/>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18"/>
          <w:szCs w:val="18"/>
          <w:color w:val="auto"/>
        </w:rPr>
        <w:t>Loss on early extinguishment of debt</w:t>
      </w:r>
    </w:p>
    <w:p>
      <w:pPr>
        <w:spacing w:after="0" w:line="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134860" cy="1600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860" cy="160020"/>
                    </a:xfrm>
                    <a:prstGeom prst="rect">
                      <a:avLst/>
                    </a:prstGeom>
                    <a:noFill/>
                  </pic:spPr>
                </pic:pic>
              </a:graphicData>
            </a:graphic>
          </wp:anchor>
        </w:drawing>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134860" cy="1771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4860" cy="177165"/>
                    </a:xfrm>
                    <a:prstGeom prst="rect">
                      <a:avLst/>
                    </a:prstGeom>
                    <a:noFill/>
                  </pic:spPr>
                </pic:pic>
              </a:graphicData>
            </a:graphic>
          </wp:anchor>
        </w:drawing>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(110.5)</w:t>
      </w:r>
    </w:p>
    <w:p>
      <w:pPr>
        <w:spacing w:after="0" w:line="3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(470.0)</w:t>
      </w:r>
    </w:p>
    <w:p>
      <w:pPr>
        <w:spacing w:after="0" w:line="3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(48.5)</w:t>
      </w:r>
    </w:p>
    <w:p>
      <w:pPr>
        <w:spacing w:after="0" w:line="3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9.2</w:t>
      </w:r>
    </w:p>
    <w:p>
      <w:pPr>
        <w:spacing w:after="0" w:line="3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(14.5)</w:t>
      </w:r>
    </w:p>
    <w:p>
      <w:pPr>
        <w:spacing w:after="0" w:line="3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(332.7)</w:t>
      </w:r>
    </w:p>
    <w:p>
      <w:pPr>
        <w:spacing w:after="0" w:line="3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(840.0)</w:t>
      </w:r>
    </w:p>
    <w:p>
      <w:pPr>
        <w:spacing w:after="0" w:line="3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(3.3)</w:t>
      </w:r>
    </w:p>
    <w:p>
      <w:pPr>
        <w:spacing w:after="0" w:line="3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(303.9)</w:t>
      </w:r>
    </w:p>
    <w:p>
      <w:pPr>
        <w:spacing w:after="0" w:line="3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7.6</w:t>
      </w:r>
    </w:p>
    <w:p>
      <w:pPr>
        <w:spacing w:after="0" w:line="3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215.1</w:t>
      </w:r>
    </w:p>
    <w:p>
      <w:pPr>
        <w:spacing w:after="0" w:line="3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(11.8)</w:t>
      </w:r>
    </w:p>
    <w:p>
      <w:pPr>
        <w:spacing w:after="0" w:line="3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6.0</w:t>
      </w:r>
    </w:p>
    <w:p>
      <w:pPr>
        <w:spacing w:after="0" w:line="45"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(712.5)</w:t>
      </w:r>
    </w:p>
    <w:p>
      <w:pPr>
        <w:spacing w:after="0" w:line="3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(59.4)</w:t>
      </w:r>
    </w:p>
    <w:p>
      <w:pPr>
        <w:spacing w:after="0" w:line="45" w:lineRule="exact"/>
        <w:rPr>
          <w:sz w:val="20"/>
          <w:szCs w:val="20"/>
          <w:color w:val="auto"/>
        </w:rPr>
      </w:pPr>
    </w:p>
    <w:p>
      <w:pPr>
        <w:ind w:left="320" w:hanging="317"/>
        <w:spacing w:after="0"/>
        <w:tabs>
          <w:tab w:leader="none" w:pos="3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(771.9)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55689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56895" cy="8255"/>
                    </a:xfrm>
                    <a:prstGeom prst="rect">
                      <a:avLst/>
                    </a:prstGeom>
                    <a:noFill/>
                  </pic:spPr>
                </pic:pic>
              </a:graphicData>
            </a:graphic>
          </wp:anchor>
        </w:drawing>
      </w:r>
    </w:p>
    <w:p>
      <w:pPr>
        <w:spacing w:after="0" w:line="236" w:lineRule="exact"/>
        <w:rPr>
          <w:sz w:val="20"/>
          <w:szCs w:val="20"/>
          <w:color w:val="auto"/>
        </w:rPr>
      </w:pPr>
    </w:p>
    <w:p>
      <w:pPr>
        <w:sectPr>
          <w:pgSz w:w="11900" w:h="16838" w:orient="portrait"/>
          <w:cols w:equalWidth="0" w:num="2">
            <w:col w:w="9660" w:space="720"/>
            <w:col w:w="860"/>
          </w:cols>
          <w:pgMar w:left="320" w:top="121" w:right="339" w:bottom="1440" w:gutter="0" w:footer="0" w:header="0"/>
          <w:type w:val="continuous"/>
        </w:sectPr>
      </w:pPr>
    </w:p>
    <w:p>
      <w:pPr>
        <w:spacing w:after="0" w:line="2" w:lineRule="exact"/>
        <w:rPr>
          <w:sz w:val="20"/>
          <w:szCs w:val="20"/>
          <w:color w:val="auto"/>
        </w:rPr>
      </w:pPr>
    </w:p>
    <w:p>
      <w:pPr>
        <w:ind w:left="640" w:right="180" w:hanging="315"/>
        <w:spacing w:after="0" w:line="291" w:lineRule="auto"/>
        <w:tabs>
          <w:tab w:leader="none" w:pos="632"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Revenues and gaming taxes expense within the Interactive segment are inclusive of gaming tax reimbursement amounts related to third-party OSB and/or iCasino partners for OSB and iCasino market access of $405.6 million for the nine months ended September 30, 2025.</w:t>
      </w:r>
    </w:p>
    <w:p>
      <w:pPr>
        <w:spacing w:after="0" w:line="8" w:lineRule="exact"/>
        <w:rPr>
          <w:rFonts w:ascii="Times New Roman" w:cs="Times New Roman" w:eastAsia="Times New Roman" w:hAnsi="Times New Roman"/>
          <w:sz w:val="14"/>
          <w:szCs w:val="14"/>
          <w:color w:val="auto"/>
        </w:rPr>
      </w:pPr>
    </w:p>
    <w:p>
      <w:pPr>
        <w:ind w:left="640" w:hanging="315"/>
        <w:spacing w:after="0"/>
        <w:tabs>
          <w:tab w:leader="none" w:pos="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represents the elimination of intersegment revenues associated with our retail sportsbooks, which are operated by PENN Interactive.</w:t>
      </w:r>
    </w:p>
    <w:p>
      <w:pPr>
        <w:spacing w:after="0" w:line="64" w:lineRule="exact"/>
        <w:rPr>
          <w:rFonts w:ascii="Times New Roman" w:cs="Times New Roman" w:eastAsia="Times New Roman" w:hAnsi="Times New Roman"/>
          <w:sz w:val="14"/>
          <w:szCs w:val="14"/>
          <w:color w:val="auto"/>
        </w:rPr>
      </w:pPr>
    </w:p>
    <w:p>
      <w:pPr>
        <w:ind w:left="640" w:right="180" w:hanging="315"/>
        <w:spacing w:after="0" w:line="264" w:lineRule="auto"/>
        <w:tabs>
          <w:tab w:leader="none" w:pos="632"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advertising expenses of $112.5 million related to the Sportsbook Agreement and $43.0 million related to the Investment Agreement with ESPN. Also, includes advertising and media expenses across various platforms for the Hollywood-branded iCasino, theScore Bet, and theScore iCasino apps. Such platforms include television, radio, out-of-home, social media, both paid and organic search, as well as sponsorships and media costs associated with partnerships with major sports leagues, and other professional sports teams.</w:t>
      </w:r>
    </w:p>
    <w:p>
      <w:pPr>
        <w:spacing w:after="0" w:line="26" w:lineRule="exact"/>
        <w:rPr>
          <w:rFonts w:ascii="Times New Roman" w:cs="Times New Roman" w:eastAsia="Times New Roman" w:hAnsi="Times New Roman"/>
          <w:sz w:val="14"/>
          <w:szCs w:val="14"/>
          <w:color w:val="auto"/>
        </w:rPr>
      </w:pPr>
    </w:p>
    <w:p>
      <w:pPr>
        <w:ind w:left="640" w:hanging="315"/>
        <w:spacing w:after="0"/>
        <w:tabs>
          <w:tab w:leader="none" w:pos="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each reportable segment, the Other segment items category includes:</w:t>
      </w:r>
    </w:p>
    <w:p>
      <w:pPr>
        <w:spacing w:after="0" w:line="64" w:lineRule="exact"/>
        <w:rPr>
          <w:rFonts w:ascii="Times New Roman" w:cs="Times New Roman" w:eastAsia="Times New Roman" w:hAnsi="Times New Roman"/>
          <w:sz w:val="14"/>
          <w:szCs w:val="14"/>
          <w:color w:val="auto"/>
        </w:rPr>
      </w:pPr>
    </w:p>
    <w:p>
      <w:pPr>
        <w:ind w:left="1280" w:right="580" w:hanging="318"/>
        <w:spacing w:after="0" w:line="287" w:lineRule="auto"/>
        <w:tabs>
          <w:tab w:leader="none" w:pos="1272"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Northeast segment - cost of goods sold, professional services, legal expenses, facility maintenance, utilities, supplies, property and liability insurance, advertising and promotional expenses, property taxes, sales and use taxes, other taxes and fees, non-REIT lease expenses, and allocated corporate expenses.</w:t>
      </w:r>
    </w:p>
    <w:p>
      <w:pPr>
        <w:ind w:left="1280" w:right="80" w:hanging="318"/>
        <w:spacing w:after="0" w:line="291" w:lineRule="auto"/>
        <w:tabs>
          <w:tab w:leader="none" w:pos="1280"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South segment - cost of goods sold, professional services, legal expenses, facility maintenance, utilities, supplies, property and liability insurance, advertising and promotional expenses, property taxes, sales and use taxes, other taxes and fees, non-REIT lease expenses, allocated corporate expenses, and third-party revenue share fees.</w:t>
      </w:r>
    </w:p>
    <w:p>
      <w:pPr>
        <w:spacing w:after="0" w:line="8" w:lineRule="exact"/>
        <w:rPr>
          <w:rFonts w:ascii="Times New Roman" w:cs="Times New Roman" w:eastAsia="Times New Roman" w:hAnsi="Times New Roman"/>
          <w:sz w:val="14"/>
          <w:szCs w:val="14"/>
          <w:color w:val="auto"/>
        </w:rPr>
      </w:pPr>
    </w:p>
    <w:p>
      <w:pPr>
        <w:ind w:left="1280" w:right="120" w:hanging="318"/>
        <w:spacing w:after="0" w:line="291" w:lineRule="auto"/>
        <w:tabs>
          <w:tab w:leader="none" w:pos="1272"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West segment - cost of goods sold, professional services, legal expenses, facility maintenance, utilities, supplies, property and liability insurance, advertising and promotional expenses, property taxes, sales and use taxes, other taxes and fees, non-REIT lease expenses, and allocated corporate expenses.</w:t>
      </w:r>
    </w:p>
    <w:p>
      <w:pPr>
        <w:spacing w:after="0" w:line="8" w:lineRule="exact"/>
        <w:rPr>
          <w:rFonts w:ascii="Times New Roman" w:cs="Times New Roman" w:eastAsia="Times New Roman" w:hAnsi="Times New Roman"/>
          <w:sz w:val="14"/>
          <w:szCs w:val="14"/>
          <w:color w:val="auto"/>
        </w:rPr>
      </w:pPr>
    </w:p>
    <w:p>
      <w:pPr>
        <w:ind w:left="1280" w:right="280" w:hanging="318"/>
        <w:spacing w:after="0" w:line="272" w:lineRule="auto"/>
        <w:tabs>
          <w:tab w:leader="none" w:pos="1280"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Midwest segment - cost of goods sold, professional services, legal expenses, facility maintenance, utilities, supplies, property and liability insurance, advertising and promotional expenses, property taxes, sales and use taxes, other taxes and fees, non-REIT lease expenses, allocated corporate expenses, and third-party revenue share fees.</w:t>
      </w:r>
    </w:p>
    <w:p>
      <w:pPr>
        <w:spacing w:after="0" w:line="20" w:lineRule="exact"/>
        <w:rPr>
          <w:rFonts w:ascii="Times New Roman" w:cs="Times New Roman" w:eastAsia="Times New Roman" w:hAnsi="Times New Roman"/>
          <w:sz w:val="14"/>
          <w:szCs w:val="14"/>
          <w:color w:val="auto"/>
        </w:rPr>
      </w:pPr>
    </w:p>
    <w:p>
      <w:pPr>
        <w:ind w:left="1280" w:right="140" w:hanging="318"/>
        <w:spacing w:after="0" w:line="291" w:lineRule="auto"/>
        <w:tabs>
          <w:tab w:leader="none" w:pos="1272"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Interactive segment - professional services, legal expenses, software subscriptions and maintenance fees, software development costs, utilities, supplies, property and liability insurance, other taxes and fees, lease expenses, allocated corporate expenses, and third-party revenue share fees.</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179705</wp:posOffset>
            </wp:positionV>
            <wp:extent cx="716026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40" w:right="60" w:hanging="315"/>
        <w:spacing w:after="0" w:line="266" w:lineRule="auto"/>
        <w:tabs>
          <w:tab w:leader="none" w:pos="632"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define Segment Adjusted EBITDAR as earnings before interest expense, net, interest income, income taxes, depreciation and amortization, rent expense associated with triple net operating leases (see footnote (7) below), stock-based compensation, debt extinguishment charges, impairment losses, insurance recoveries, net of deductible charges, changes in the estimated fair value of our contingent purchase price obligations, gain or loss on disposal of assets, the difference between budget and actual expense for cash-settled stock-based awards, pre-opening expenses, loss on disposal of a business, non-cash gains/losses associated with REIT transactions, and other. Segment Adjusted EBITDAR is also inclusive of income or loss from unconsolidated affiliates, with our share of non-operating items (see footnote (9) below) added back for our Kansas Entertainment joint venture.</w:t>
      </w:r>
    </w:p>
    <w:p>
      <w:pPr>
        <w:spacing w:after="0" w:line="10" w:lineRule="exact"/>
        <w:rPr>
          <w:rFonts w:ascii="Times New Roman" w:cs="Times New Roman" w:eastAsia="Times New Roman" w:hAnsi="Times New Roman"/>
          <w:sz w:val="14"/>
          <w:szCs w:val="14"/>
          <w:color w:val="auto"/>
        </w:rPr>
      </w:pPr>
    </w:p>
    <w:p>
      <w:pPr>
        <w:ind w:left="640" w:right="80" w:hanging="315"/>
        <w:spacing w:after="0" w:line="291" w:lineRule="auto"/>
        <w:tabs>
          <w:tab w:leader="none" w:pos="632"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represents corporate overhead expenses of $108.7 million for the nine months ended September 30, 2025, which is inclusive of $21.0 million of legal and advisory costs related to activist activity in connection with our 2025 annual meeting of shareholders.</w:t>
      </w:r>
    </w:p>
    <w:p>
      <w:pPr>
        <w:spacing w:after="0" w:line="8" w:lineRule="exact"/>
        <w:rPr>
          <w:rFonts w:ascii="Times New Roman" w:cs="Times New Roman" w:eastAsia="Times New Roman" w:hAnsi="Times New Roman"/>
          <w:sz w:val="14"/>
          <w:szCs w:val="14"/>
          <w:color w:val="auto"/>
        </w:rPr>
      </w:pPr>
    </w:p>
    <w:p>
      <w:pPr>
        <w:ind w:left="640" w:hanging="315"/>
        <w:spacing w:after="0"/>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Pertains to the following operating leases: (i) AR PENN Master Lease; (ii) 2023 Master Lease; (iii) Margaritaville Lease; and (iv) Greektown Lease.</w:t>
      </w:r>
    </w:p>
    <w:p>
      <w:pPr>
        <w:spacing w:after="0" w:line="64" w:lineRule="exact"/>
        <w:rPr>
          <w:rFonts w:ascii="Times New Roman" w:cs="Times New Roman" w:eastAsia="Times New Roman" w:hAnsi="Times New Roman"/>
          <w:sz w:val="14"/>
          <w:szCs w:val="14"/>
          <w:color w:val="auto"/>
        </w:rPr>
      </w:pPr>
    </w:p>
    <w:p>
      <w:pPr>
        <w:ind w:left="640" w:hanging="315"/>
        <w:spacing w:after="0"/>
        <w:tabs>
          <w:tab w:leader="none" w:pos="640" w:val="left"/>
        </w:tabs>
        <w:numPr>
          <w:ilvl w:val="0"/>
          <w:numId w:val="22"/>
        </w:numPr>
        <w:rPr>
          <w:rFonts w:ascii="Times New Roman" w:cs="Times New Roman" w:eastAsia="Times New Roman" w:hAnsi="Times New Roman"/>
          <w:sz w:val="14"/>
          <w:szCs w:val="14"/>
          <w:color w:val="212529"/>
        </w:rPr>
      </w:pPr>
      <w:r>
        <w:rPr>
          <w:rFonts w:ascii="Times New Roman" w:cs="Times New Roman" w:eastAsia="Times New Roman" w:hAnsi="Times New Roman"/>
          <w:sz w:val="14"/>
          <w:szCs w:val="14"/>
          <w:color w:val="212529"/>
        </w:rPr>
        <w:t xml:space="preserve">Relates to impairment charges of </w:t>
      </w:r>
      <w:r>
        <w:rPr>
          <w:rFonts w:ascii="Times New Roman" w:cs="Times New Roman" w:eastAsia="Times New Roman" w:hAnsi="Times New Roman"/>
          <w:sz w:val="14"/>
          <w:szCs w:val="14"/>
          <w:color w:val="000000"/>
        </w:rPr>
        <w:t>$15.0 million</w:t>
      </w:r>
      <w:r>
        <w:rPr>
          <w:rFonts w:ascii="Times New Roman" w:cs="Times New Roman" w:eastAsia="Times New Roman" w:hAnsi="Times New Roman"/>
          <w:sz w:val="14"/>
          <w:szCs w:val="14"/>
          <w:color w:val="212529"/>
        </w:rPr>
        <w:t xml:space="preserve"> in the Midwest segment and </w:t>
      </w:r>
      <w:r>
        <w:rPr>
          <w:rFonts w:ascii="Times New Roman" w:cs="Times New Roman" w:eastAsia="Times New Roman" w:hAnsi="Times New Roman"/>
          <w:sz w:val="14"/>
          <w:szCs w:val="14"/>
          <w:color w:val="000000"/>
        </w:rPr>
        <w:t>$825.0 million in the</w:t>
      </w:r>
      <w:r>
        <w:rPr>
          <w:rFonts w:ascii="Times New Roman" w:cs="Times New Roman" w:eastAsia="Times New Roman" w:hAnsi="Times New Roman"/>
          <w:sz w:val="14"/>
          <w:szCs w:val="14"/>
          <w:color w:val="212529"/>
        </w:rPr>
        <w:t xml:space="preserve"> Interactive segment.</w:t>
      </w:r>
    </w:p>
    <w:p>
      <w:pPr>
        <w:spacing w:after="0" w:line="64" w:lineRule="exact"/>
        <w:rPr>
          <w:rFonts w:ascii="Times New Roman" w:cs="Times New Roman" w:eastAsia="Times New Roman" w:hAnsi="Times New Roman"/>
          <w:sz w:val="14"/>
          <w:szCs w:val="14"/>
          <w:color w:val="212529"/>
        </w:rPr>
      </w:pPr>
    </w:p>
    <w:p>
      <w:pPr>
        <w:ind w:left="640" w:hanging="315"/>
        <w:spacing w:after="0"/>
        <w:tabs>
          <w:tab w:leader="none" w:pos="640" w:val="left"/>
        </w:tabs>
        <w:numPr>
          <w:ilvl w:val="0"/>
          <w:numId w:val="22"/>
        </w:numPr>
        <w:rPr>
          <w:rFonts w:ascii="Times New Roman" w:cs="Times New Roman" w:eastAsia="Times New Roman" w:hAnsi="Times New Roman"/>
          <w:sz w:val="14"/>
          <w:szCs w:val="14"/>
          <w:color w:val="212529"/>
        </w:rPr>
      </w:pPr>
      <w:r>
        <w:rPr>
          <w:rFonts w:ascii="Times New Roman" w:cs="Times New Roman" w:eastAsia="Times New Roman" w:hAnsi="Times New Roman"/>
          <w:sz w:val="14"/>
          <w:szCs w:val="14"/>
          <w:color w:val="212529"/>
        </w:rPr>
        <w:t>Consists primarily of depreciation expense associated with our Kansas Entertainment joint venture.</w:t>
      </w:r>
    </w:p>
    <w:p>
      <w:pPr>
        <w:spacing w:after="0" w:line="51" w:lineRule="exact"/>
        <w:rPr>
          <w:rFonts w:ascii="Times New Roman" w:cs="Times New Roman" w:eastAsia="Times New Roman" w:hAnsi="Times New Roman"/>
          <w:sz w:val="14"/>
          <w:szCs w:val="14"/>
          <w:color w:val="212529"/>
        </w:rPr>
      </w:pPr>
    </w:p>
    <w:p>
      <w:pPr>
        <w:ind w:left="640" w:hanging="315"/>
        <w:spacing w:after="0"/>
        <w:tabs>
          <w:tab w:leader="none" w:pos="640" w:val="left"/>
        </w:tabs>
        <w:numPr>
          <w:ilvl w:val="0"/>
          <w:numId w:val="22"/>
        </w:numPr>
        <w:rPr>
          <w:rFonts w:ascii="Times New Roman" w:cs="Times New Roman" w:eastAsia="Times New Roman" w:hAnsi="Times New Roman"/>
          <w:sz w:val="14"/>
          <w:szCs w:val="14"/>
          <w:color w:val="212529"/>
        </w:rPr>
      </w:pPr>
      <w:r>
        <w:rPr>
          <w:rFonts w:ascii="Times New Roman" w:cs="Times New Roman" w:eastAsia="Times New Roman" w:hAnsi="Times New Roman"/>
          <w:sz w:val="14"/>
          <w:szCs w:val="14"/>
          <w:color w:val="212529"/>
        </w:rPr>
        <w:t xml:space="preserve">Relates to the </w:t>
      </w:r>
      <w:r>
        <w:rPr>
          <w:rFonts w:ascii="Times New Roman" w:cs="Times New Roman" w:eastAsia="Times New Roman" w:hAnsi="Times New Roman"/>
          <w:sz w:val="14"/>
          <w:szCs w:val="14"/>
          <w:color w:val="000000"/>
        </w:rPr>
        <w:t>$215.1 million</w:t>
      </w:r>
      <w:r>
        <w:rPr>
          <w:rFonts w:ascii="Times New Roman" w:cs="Times New Roman" w:eastAsia="Times New Roman" w:hAnsi="Times New Roman"/>
          <w:sz w:val="14"/>
          <w:szCs w:val="14"/>
          <w:color w:val="212529"/>
        </w:rPr>
        <w:t xml:space="preserve"> non-cash gain on financing arrangement. </w:t>
      </w:r>
      <w:r>
        <w:rPr>
          <w:rFonts w:ascii="Times New Roman" w:cs="Times New Roman" w:eastAsia="Times New Roman" w:hAnsi="Times New Roman"/>
          <w:sz w:val="14"/>
          <w:szCs w:val="14"/>
          <w:color w:val="000000"/>
        </w:rPr>
        <w:t>See</w:t>
      </w:r>
      <w:r>
        <w:rPr>
          <w:rFonts w:ascii="Times New Roman" w:cs="Times New Roman" w:eastAsia="Times New Roman" w:hAnsi="Times New Roman"/>
          <w:sz w:val="14"/>
          <w:szCs w:val="14"/>
          <w:color w:val="212529"/>
        </w:rPr>
        <w:t xml:space="preserve"> </w:t>
      </w:r>
      <w:r>
        <w:rPr>
          <w:rFonts w:ascii="Times New Roman" w:cs="Times New Roman" w:eastAsia="Times New Roman" w:hAnsi="Times New Roman"/>
          <w:sz w:val="14"/>
          <w:szCs w:val="14"/>
          <w:u w:val="single" w:color="auto"/>
          <w:color w:val="0000FF"/>
        </w:rPr>
        <w:t>Note 5, “Long-Term Debt.”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0" w:type="dxa"/>
            <w:vAlign w:val="bottom"/>
          </w:tcPr>
          <w:p>
            <w:pPr>
              <w:spacing w:after="0"/>
              <w:rPr>
                <w:sz w:val="20"/>
                <w:szCs w:val="20"/>
                <w:color w:val="auto"/>
              </w:rPr>
            </w:pPr>
          </w:p>
        </w:tc>
        <w:tc>
          <w:tcPr>
            <w:tcW w:w="53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The table below presents capital expenditures by segment:</w:t>
            </w: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18"/>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80" w:type="dxa"/>
            <w:vAlign w:val="bottom"/>
          </w:tcPr>
          <w:p>
            <w:pPr>
              <w:spacing w:after="0"/>
              <w:rPr>
                <w:sz w:val="18"/>
                <w:szCs w:val="18"/>
                <w:color w:val="auto"/>
              </w:rPr>
            </w:pPr>
          </w:p>
        </w:tc>
        <w:tc>
          <w:tcPr>
            <w:tcW w:w="2620" w:type="dxa"/>
            <w:vAlign w:val="bottom"/>
            <w:gridSpan w:val="4"/>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80" w:type="dxa"/>
            <w:vAlign w:val="bottom"/>
            <w:tcBorders>
              <w:bottom w:val="single" w:sz="8" w:color="auto"/>
            </w:tcBorders>
          </w:tcPr>
          <w:p>
            <w:pPr>
              <w:spacing w:after="0"/>
              <w:rPr>
                <w:sz w:val="20"/>
                <w:szCs w:val="20"/>
                <w:color w:val="auto"/>
              </w:rPr>
            </w:pPr>
          </w:p>
        </w:tc>
      </w:tr>
      <w:tr>
        <w:trPr>
          <w:trHeight w:val="179"/>
        </w:trPr>
        <w:tc>
          <w:tcPr>
            <w:tcW w:w="53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60" w:type="dxa"/>
            <w:vAlign w:val="bottom"/>
          </w:tcPr>
          <w:p>
            <w:pPr>
              <w:spacing w:after="0"/>
              <w:rPr>
                <w:sz w:val="15"/>
                <w:szCs w:val="15"/>
                <w:color w:val="auto"/>
              </w:rPr>
            </w:pPr>
          </w:p>
        </w:tc>
        <w:tc>
          <w:tcPr>
            <w:tcW w:w="1140" w:type="dxa"/>
            <w:vAlign w:val="bottom"/>
          </w:tcPr>
          <w:p>
            <w:pPr>
              <w:jc w:val="right"/>
              <w:ind w:right="431"/>
              <w:spacing w:after="0" w:line="166" w:lineRule="exact"/>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jc w:val="right"/>
              <w:ind w:right="431"/>
              <w:spacing w:after="0" w:line="166" w:lineRule="exact"/>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right"/>
              <w:ind w:right="431"/>
              <w:spacing w:after="0" w:line="166" w:lineRule="exact"/>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jc w:val="right"/>
              <w:ind w:right="431"/>
              <w:spacing w:after="0" w:line="166" w:lineRule="exact"/>
              <w:rPr>
                <w:sz w:val="20"/>
                <w:szCs w:val="20"/>
                <w:color w:val="auto"/>
              </w:rPr>
            </w:pPr>
            <w:r>
              <w:rPr>
                <w:rFonts w:ascii="Times New Roman" w:cs="Times New Roman" w:eastAsia="Times New Roman" w:hAnsi="Times New Roman"/>
                <w:sz w:val="18"/>
                <w:szCs w:val="18"/>
                <w:b w:val="1"/>
                <w:bCs w:val="1"/>
                <w:color w:val="auto"/>
                <w:w w:val="94"/>
              </w:rPr>
              <w:t>2025</w:t>
            </w:r>
          </w:p>
        </w:tc>
      </w:tr>
      <w:tr>
        <w:trPr>
          <w:trHeight w:val="33"/>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9"/>
        </w:trPr>
        <w:tc>
          <w:tcPr>
            <w:tcW w:w="5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9"/>
        </w:trPr>
        <w:tc>
          <w:tcPr>
            <w:tcW w:w="20" w:type="dxa"/>
            <w:vAlign w:val="bottom"/>
          </w:tcPr>
          <w:p>
            <w:pPr>
              <w:spacing w:after="0"/>
              <w:rPr>
                <w:sz w:val="20"/>
                <w:szCs w:val="20"/>
                <w:color w:val="auto"/>
              </w:rPr>
            </w:pPr>
          </w:p>
        </w:tc>
        <w:tc>
          <w:tcPr>
            <w:tcW w:w="5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Northeast segment</w:t>
            </w: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20"/>
                <w:szCs w:val="20"/>
                <w:color w:val="auto"/>
              </w:rPr>
            </w:pPr>
          </w:p>
        </w:tc>
        <w:tc>
          <w:tcPr>
            <w:tcW w:w="50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20"/>
                <w:szCs w:val="20"/>
                <w:color w:val="auto"/>
              </w:rPr>
            </w:pP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Pr>
          <w:p>
            <w:pPr>
              <w:spacing w:after="0"/>
              <w:rPr>
                <w:sz w:val="20"/>
                <w:szCs w:val="20"/>
                <w:color w:val="auto"/>
              </w:rPr>
            </w:pPr>
          </w:p>
        </w:tc>
        <w:tc>
          <w:tcPr>
            <w:tcW w:w="5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r>
      <w:tr>
        <w:trPr>
          <w:trHeight w:val="239"/>
        </w:trPr>
        <w:tc>
          <w:tcPr>
            <w:tcW w:w="20" w:type="dxa"/>
            <w:vAlign w:val="bottom"/>
            <w:shd w:val="clear" w:color="auto" w:fill="CCEEFF"/>
          </w:tcPr>
          <w:p>
            <w:pPr>
              <w:spacing w:after="0"/>
              <w:rPr>
                <w:sz w:val="20"/>
                <w:szCs w:val="20"/>
                <w:color w:val="auto"/>
              </w:rPr>
            </w:pPr>
          </w:p>
        </w:tc>
        <w:tc>
          <w:tcPr>
            <w:tcW w:w="5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South segment</w:t>
            </w: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r>
      <w:tr>
        <w:trPr>
          <w:trHeight w:val="239"/>
        </w:trPr>
        <w:tc>
          <w:tcPr>
            <w:tcW w:w="20" w:type="dxa"/>
            <w:vAlign w:val="bottom"/>
          </w:tcPr>
          <w:p>
            <w:pPr>
              <w:spacing w:after="0"/>
              <w:rPr>
                <w:sz w:val="20"/>
                <w:szCs w:val="20"/>
                <w:color w:val="auto"/>
              </w:rPr>
            </w:pPr>
          </w:p>
        </w:tc>
        <w:tc>
          <w:tcPr>
            <w:tcW w:w="5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West segment</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w:t>
            </w:r>
          </w:p>
        </w:tc>
      </w:tr>
      <w:tr>
        <w:trPr>
          <w:trHeight w:val="239"/>
        </w:trPr>
        <w:tc>
          <w:tcPr>
            <w:tcW w:w="20" w:type="dxa"/>
            <w:vAlign w:val="bottom"/>
            <w:shd w:val="clear" w:color="auto" w:fill="CCEEFF"/>
          </w:tcPr>
          <w:p>
            <w:pPr>
              <w:spacing w:after="0"/>
              <w:rPr>
                <w:sz w:val="20"/>
                <w:szCs w:val="20"/>
                <w:color w:val="auto"/>
              </w:rPr>
            </w:pPr>
          </w:p>
        </w:tc>
        <w:tc>
          <w:tcPr>
            <w:tcW w:w="5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Midwest segment</w:t>
            </w: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w:t>
            </w:r>
          </w:p>
        </w:tc>
      </w:tr>
      <w:tr>
        <w:trPr>
          <w:trHeight w:val="239"/>
        </w:trPr>
        <w:tc>
          <w:tcPr>
            <w:tcW w:w="20" w:type="dxa"/>
            <w:vAlign w:val="bottom"/>
          </w:tcPr>
          <w:p>
            <w:pPr>
              <w:spacing w:after="0"/>
              <w:rPr>
                <w:sz w:val="20"/>
                <w:szCs w:val="20"/>
                <w:color w:val="auto"/>
              </w:rPr>
            </w:pPr>
          </w:p>
        </w:tc>
        <w:tc>
          <w:tcPr>
            <w:tcW w:w="5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Interactive segment</w:t>
            </w:r>
          </w:p>
        </w:tc>
        <w:tc>
          <w:tcPr>
            <w:tcW w:w="26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9"/>
        </w:trPr>
        <w:tc>
          <w:tcPr>
            <w:tcW w:w="20" w:type="dxa"/>
            <w:vAlign w:val="bottom"/>
            <w:shd w:val="clear" w:color="auto" w:fill="CCEEFF"/>
          </w:tcPr>
          <w:p>
            <w:pPr>
              <w:spacing w:after="0"/>
              <w:rPr>
                <w:sz w:val="20"/>
                <w:szCs w:val="20"/>
                <w:color w:val="auto"/>
              </w:rPr>
            </w:pPr>
          </w:p>
        </w:tc>
        <w:tc>
          <w:tcPr>
            <w:tcW w:w="5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32"/>
        </w:trPr>
        <w:tc>
          <w:tcPr>
            <w:tcW w:w="20" w:type="dxa"/>
            <w:vAlign w:val="bottom"/>
          </w:tcPr>
          <w:p>
            <w:pPr>
              <w:spacing w:after="0"/>
              <w:rPr>
                <w:sz w:val="20"/>
                <w:szCs w:val="20"/>
                <w:color w:val="auto"/>
              </w:rPr>
            </w:pPr>
          </w:p>
        </w:tc>
        <w:tc>
          <w:tcPr>
            <w:tcW w:w="532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Total capital expenditures</w:t>
            </w:r>
          </w:p>
        </w:tc>
        <w:tc>
          <w:tcPr>
            <w:tcW w:w="2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tcPr>
          <w:p>
            <w:pPr>
              <w:spacing w:after="0"/>
              <w:rPr>
                <w:sz w:val="20"/>
                <w:szCs w:val="20"/>
                <w:color w:val="auto"/>
              </w:rPr>
            </w:pPr>
          </w:p>
        </w:tc>
        <w:tc>
          <w:tcPr>
            <w:tcW w:w="5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251.2</w:t>
            </w:r>
          </w:p>
        </w:tc>
        <w:tc>
          <w:tcPr>
            <w:tcW w:w="100" w:type="dxa"/>
            <w:vAlign w:val="bottom"/>
          </w:tcPr>
          <w:p>
            <w:pPr>
              <w:spacing w:after="0"/>
              <w:rPr>
                <w:sz w:val="20"/>
                <w:szCs w:val="20"/>
                <w:color w:val="auto"/>
              </w:rPr>
            </w:pPr>
          </w:p>
        </w:tc>
        <w:tc>
          <w:tcPr>
            <w:tcW w:w="5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457.3</w:t>
            </w: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measure of segment assets is reported on our unaudited Consolidated Balance Sheets as total consolidated assets.</w:t>
      </w:r>
    </w:p>
    <w:p>
      <w:pPr>
        <w:spacing w:after="0" w:line="1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table below presents investment in and advances to unconsolidated affiliates and total assets by segment:</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3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40" w:type="dxa"/>
            <w:vAlign w:val="bottom"/>
          </w:tcPr>
          <w:p>
            <w:pPr>
              <w:spacing w:after="0"/>
              <w:rPr>
                <w:sz w:val="21"/>
                <w:szCs w:val="21"/>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Northeast</w:t>
            </w:r>
          </w:p>
        </w:tc>
        <w:tc>
          <w:tcPr>
            <w:tcW w:w="200" w:type="dxa"/>
            <w:vAlign w:val="bottom"/>
          </w:tcPr>
          <w:p>
            <w:pPr>
              <w:spacing w:after="0"/>
              <w:rPr>
                <w:sz w:val="21"/>
                <w:szCs w:val="21"/>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South</w:t>
            </w:r>
          </w:p>
        </w:tc>
        <w:tc>
          <w:tcPr>
            <w:tcW w:w="220" w:type="dxa"/>
            <w:vAlign w:val="bottom"/>
          </w:tcPr>
          <w:p>
            <w:pPr>
              <w:spacing w:after="0"/>
              <w:rPr>
                <w:sz w:val="21"/>
                <w:szCs w:val="21"/>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West</w:t>
            </w:r>
          </w:p>
        </w:tc>
        <w:tc>
          <w:tcPr>
            <w:tcW w:w="160" w:type="dxa"/>
            <w:vAlign w:val="bottom"/>
          </w:tcPr>
          <w:p>
            <w:pPr>
              <w:spacing w:after="0"/>
              <w:rPr>
                <w:sz w:val="21"/>
                <w:szCs w:val="21"/>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Midwest</w:t>
            </w:r>
          </w:p>
        </w:tc>
        <w:tc>
          <w:tcPr>
            <w:tcW w:w="120" w:type="dxa"/>
            <w:vAlign w:val="bottom"/>
          </w:tcPr>
          <w:p>
            <w:pPr>
              <w:spacing w:after="0"/>
              <w:rPr>
                <w:sz w:val="21"/>
                <w:szCs w:val="21"/>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Interactive</w:t>
            </w:r>
          </w:p>
        </w:tc>
        <w:tc>
          <w:tcPr>
            <w:tcW w:w="160" w:type="dxa"/>
            <w:vAlign w:val="bottom"/>
          </w:tcPr>
          <w:p>
            <w:pPr>
              <w:spacing w:after="0"/>
              <w:rPr>
                <w:sz w:val="21"/>
                <w:szCs w:val="21"/>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 xml:space="preserve">Other </w:t>
            </w:r>
            <w:r>
              <w:rPr>
                <w:rFonts w:ascii="Times New Roman" w:cs="Times New Roman" w:eastAsia="Times New Roman" w:hAnsi="Times New Roman"/>
                <w:sz w:val="20"/>
                <w:szCs w:val="20"/>
                <w:b w:val="1"/>
                <w:bCs w:val="1"/>
                <w:color w:val="auto"/>
                <w:vertAlign w:val="superscript"/>
              </w:rPr>
              <w:t>(1)</w:t>
            </w:r>
          </w:p>
        </w:tc>
        <w:tc>
          <w:tcPr>
            <w:tcW w:w="220" w:type="dxa"/>
            <w:vAlign w:val="bottom"/>
          </w:tcPr>
          <w:p>
            <w:pPr>
              <w:spacing w:after="0"/>
              <w:rPr>
                <w:sz w:val="21"/>
                <w:szCs w:val="21"/>
                <w:color w:val="auto"/>
              </w:rPr>
            </w:pPr>
          </w:p>
        </w:tc>
        <w:tc>
          <w:tcPr>
            <w:tcW w:w="800" w:type="dxa"/>
            <w:vAlign w:val="bottom"/>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3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sheet as of September 30, 2026</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3360" w:type="dxa"/>
            <w:vAlign w:val="bottom"/>
            <w:gridSpan w:val="3"/>
          </w:tcPr>
          <w:p>
            <w:pPr>
              <w:ind w:left="20"/>
              <w:spacing w:after="0" w:line="173" w:lineRule="exact"/>
              <w:rPr>
                <w:sz w:val="20"/>
                <w:szCs w:val="20"/>
                <w:color w:val="auto"/>
              </w:rPr>
            </w:pPr>
            <w:r>
              <w:rPr>
                <w:rFonts w:ascii="Times New Roman" w:cs="Times New Roman" w:eastAsia="Times New Roman" w:hAnsi="Times New Roman"/>
                <w:sz w:val="16"/>
                <w:szCs w:val="16"/>
                <w:color w:val="auto"/>
              </w:rPr>
              <w:t>Investment in and advances to unconsolidated</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15"/>
                <w:szCs w:val="15"/>
                <w:color w:val="auto"/>
              </w:rPr>
            </w:pPr>
          </w:p>
        </w:tc>
        <w:tc>
          <w:tcPr>
            <w:tcW w:w="20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75.4</w:t>
            </w:r>
          </w:p>
        </w:tc>
        <w:tc>
          <w:tcPr>
            <w:tcW w:w="1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5"/>
                <w:szCs w:val="15"/>
                <w:color w:val="auto"/>
              </w:rPr>
            </w:pPr>
          </w:p>
        </w:tc>
        <w:tc>
          <w:tcPr>
            <w:tcW w:w="220" w:type="dxa"/>
            <w:vAlign w:val="bottom"/>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77.1</w:t>
            </w:r>
          </w:p>
        </w:tc>
        <w:tc>
          <w:tcPr>
            <w:tcW w:w="0" w:type="dxa"/>
            <w:vAlign w:val="bottom"/>
          </w:tcPr>
          <w:p>
            <w:pPr>
              <w:spacing w:after="0"/>
              <w:rPr>
                <w:sz w:val="1"/>
                <w:szCs w:val="1"/>
                <w:color w:val="auto"/>
              </w:rPr>
            </w:pPr>
          </w:p>
        </w:tc>
      </w:tr>
      <w:tr>
        <w:trPr>
          <w:trHeight w:val="210"/>
        </w:trPr>
        <w:tc>
          <w:tcPr>
            <w:tcW w:w="33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affiliates</w:t>
            </w:r>
          </w:p>
        </w:tc>
        <w:tc>
          <w:tcPr>
            <w:tcW w:w="14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1,720.7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7,823.4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13,994.9</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3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sheet as of December 31, 2025</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3360" w:type="dxa"/>
            <w:vAlign w:val="bottom"/>
            <w:gridSpan w:val="3"/>
          </w:tcPr>
          <w:p>
            <w:pPr>
              <w:ind w:left="20"/>
              <w:spacing w:after="0" w:line="173" w:lineRule="exact"/>
              <w:rPr>
                <w:sz w:val="20"/>
                <w:szCs w:val="20"/>
                <w:color w:val="auto"/>
              </w:rPr>
            </w:pPr>
            <w:r>
              <w:rPr>
                <w:rFonts w:ascii="Times New Roman" w:cs="Times New Roman" w:eastAsia="Times New Roman" w:hAnsi="Times New Roman"/>
                <w:sz w:val="16"/>
                <w:szCs w:val="16"/>
                <w:color w:val="auto"/>
              </w:rPr>
              <w:t>Investment in and advances to unconsolidated</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15"/>
                <w:szCs w:val="15"/>
                <w:color w:val="auto"/>
              </w:rPr>
            </w:pPr>
          </w:p>
        </w:tc>
        <w:tc>
          <w:tcPr>
            <w:tcW w:w="20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77.8</w:t>
            </w:r>
          </w:p>
        </w:tc>
        <w:tc>
          <w:tcPr>
            <w:tcW w:w="1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5"/>
                <w:szCs w:val="15"/>
                <w:color w:val="auto"/>
              </w:rPr>
            </w:pPr>
          </w:p>
        </w:tc>
        <w:tc>
          <w:tcPr>
            <w:tcW w:w="220" w:type="dxa"/>
            <w:vAlign w:val="bottom"/>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79.4</w:t>
            </w:r>
          </w:p>
        </w:tc>
        <w:tc>
          <w:tcPr>
            <w:tcW w:w="0" w:type="dxa"/>
            <w:vAlign w:val="bottom"/>
          </w:tcPr>
          <w:p>
            <w:pPr>
              <w:spacing w:after="0"/>
              <w:rPr>
                <w:sz w:val="1"/>
                <w:szCs w:val="1"/>
                <w:color w:val="auto"/>
              </w:rPr>
            </w:pPr>
          </w:p>
        </w:tc>
      </w:tr>
      <w:tr>
        <w:trPr>
          <w:trHeight w:val="210"/>
        </w:trPr>
        <w:tc>
          <w:tcPr>
            <w:tcW w:w="33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affiliates</w:t>
            </w:r>
          </w:p>
        </w:tc>
        <w:tc>
          <w:tcPr>
            <w:tcW w:w="14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1,815.6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7,632.6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14,268.5</w:t>
            </w: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640" w:right="400" w:hanging="315"/>
        <w:spacing w:after="0" w:line="291" w:lineRule="auto"/>
        <w:tabs>
          <w:tab w:leader="none" w:pos="63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real estate assets subject to the Master Leases, which are classified as either property and equipment, net, operating lease ROU assets, or finance lease ROU assets, are included within the Other category.</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187960</wp:posOffset>
            </wp:positionV>
            <wp:extent cx="716026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93" w:lineRule="exact"/>
        <w:rPr>
          <w:sz w:val="20"/>
          <w:szCs w:val="20"/>
          <w:color w:val="auto"/>
        </w:rPr>
      </w:pPr>
    </w:p>
    <w:p>
      <w:pPr>
        <w:jc w:val="both"/>
        <w:ind w:right="60" w:firstLine="319"/>
        <w:spacing w:after="0" w:line="255" w:lineRule="auto"/>
        <w:rPr>
          <w:sz w:val="20"/>
          <w:szCs w:val="20"/>
          <w:color w:val="auto"/>
        </w:rPr>
      </w:pPr>
      <w:r>
        <w:rPr>
          <w:rFonts w:ascii="Times New Roman" w:cs="Times New Roman" w:eastAsia="Times New Roman" w:hAnsi="Times New Roman"/>
          <w:sz w:val="18"/>
          <w:szCs w:val="18"/>
          <w:color w:val="auto"/>
        </w:rPr>
        <w:t>The following discussion and analysis of financial condition, results of operations, liquidity and capital resources should be read in conjunction with, and is qualified in its entirety by, the unaudited Consolidated Financial Statements and the notes thereto included in this Quarterly Report on Form 10-Q, and the Consolidated Financial Statements and notes thereto and Management’s Discussion and Analysis of Financial Condition and Results of Operations contained in our Annual Report on Form 10-K for the year ended December 31, 2025.</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w:t>
      </w:r>
    </w:p>
    <w:p>
      <w:pPr>
        <w:spacing w:after="0" w:line="195" w:lineRule="exact"/>
        <w:rPr>
          <w:sz w:val="20"/>
          <w:szCs w:val="20"/>
          <w:color w:val="auto"/>
        </w:rPr>
      </w:pPr>
    </w:p>
    <w:p>
      <w:pPr>
        <w:ind w:right="260" w:firstLine="319"/>
        <w:spacing w:after="0" w:line="272" w:lineRule="auto"/>
        <w:rPr>
          <w:sz w:val="20"/>
          <w:szCs w:val="20"/>
          <w:color w:val="auto"/>
        </w:rPr>
      </w:pPr>
      <w:r>
        <w:rPr>
          <w:rFonts w:ascii="Times New Roman" w:cs="Times New Roman" w:eastAsia="Times New Roman" w:hAnsi="Times New Roman"/>
          <w:sz w:val="17"/>
          <w:szCs w:val="17"/>
          <w:color w:val="auto"/>
        </w:rPr>
        <w:t>PENN Entertainment, Inc., together with its subsidiaries (“PENN,” or the “Company,” “we,” “our,” or “us”), operates in 28 jurisdictions throughout North America, with a broadly diversified portfolio of casinos, racetracks, and online sports betting (“OSB”) and iCasino offerings. PENN’s focus is on organic cross-sell opportunities, reinforced by its market-leading retail casinos, sports media assets and technology, including a proprietary state-of-the-art, fully integrated digital sports betting and iCasino platform, and an in-house iCasino content studio. The Company’s portfolio is further bolstered by its industry-leading PENN Play</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customer loyalty program, offering its over 34 million members a unique set of rewards and experiences.</w:t>
      </w:r>
    </w:p>
    <w:p>
      <w:pPr>
        <w:spacing w:after="0" w:line="62" w:lineRule="exact"/>
        <w:rPr>
          <w:sz w:val="20"/>
          <w:szCs w:val="20"/>
          <w:color w:val="auto"/>
        </w:rPr>
      </w:pPr>
    </w:p>
    <w:p>
      <w:pPr>
        <w:ind w:right="20" w:firstLine="319"/>
        <w:spacing w:after="0" w:line="255" w:lineRule="auto"/>
        <w:rPr>
          <w:sz w:val="20"/>
          <w:szCs w:val="20"/>
          <w:color w:val="auto"/>
        </w:rPr>
      </w:pPr>
      <w:r>
        <w:rPr>
          <w:rFonts w:ascii="Times New Roman" w:cs="Times New Roman" w:eastAsia="Times New Roman" w:hAnsi="Times New Roman"/>
          <w:sz w:val="18"/>
          <w:szCs w:val="18"/>
          <w:color w:val="auto"/>
        </w:rPr>
        <w:t xml:space="preserve">The majority of the real estate assets (i.e., land and buildings) used in our operations are subject to triple net master leases; the most significant of which are with Gaming and Leisure Properties, Inc. (Nasdaq: GLPI) (“GLPI”), a real estate investment trust (“REIT”), and include the AR PENN Master Lease, 2023 Master Lease, and Pinnacle Master Lease (as such terms are defined in </w:t>
      </w:r>
      <w:r>
        <w:rPr>
          <w:rFonts w:ascii="Times New Roman" w:cs="Times New Roman" w:eastAsia="Times New Roman" w:hAnsi="Times New Roman"/>
          <w:sz w:val="18"/>
          <w:szCs w:val="18"/>
          <w:u w:val="single" w:color="auto"/>
          <w:color w:val="0000FF"/>
        </w:rPr>
        <w:t>Note 6, “Leases”</w:t>
      </w:r>
      <w:r>
        <w:rPr>
          <w:rFonts w:ascii="Times New Roman" w:cs="Times New Roman" w:eastAsia="Times New Roman" w:hAnsi="Times New Roman"/>
          <w:sz w:val="18"/>
          <w:szCs w:val="18"/>
          <w:color w:val="auto"/>
        </w:rPr>
        <w:t xml:space="preserve"> in the notes to the unaudited Consolidated Financial Statements and collectively referred to as the “Master Leases”).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Overview</w:t>
      </w:r>
    </w:p>
    <w:p>
      <w:pPr>
        <w:spacing w:after="0" w:line="195" w:lineRule="exact"/>
        <w:rPr>
          <w:sz w:val="20"/>
          <w:szCs w:val="20"/>
          <w:color w:val="auto"/>
        </w:rPr>
      </w:pPr>
    </w:p>
    <w:p>
      <w:pPr>
        <w:ind w:right="20" w:firstLine="319"/>
        <w:spacing w:after="0" w:line="252" w:lineRule="auto"/>
        <w:rPr>
          <w:sz w:val="20"/>
          <w:szCs w:val="20"/>
          <w:color w:val="auto"/>
        </w:rPr>
      </w:pPr>
      <w:r>
        <w:rPr>
          <w:rFonts w:ascii="Times New Roman" w:cs="Times New Roman" w:eastAsia="Times New Roman" w:hAnsi="Times New Roman"/>
          <w:sz w:val="18"/>
          <w:szCs w:val="18"/>
          <w:color w:val="auto"/>
        </w:rPr>
        <w:t>We believe that our portfolio of assets provides us with the benefit of geographically diversified cash flow from operations. We expect to continue to expand our gaming operations through the implementation and execution of a disciplined capital expenditure program at our existing properties, the pursuit of strategic acquisitions and investments, and the development of new gaming properties. Our sports media assets and proprietary OSB and iCasino technology reinforce our strategy to continue evolving from the nation’s largest regional gaming operator to a best-in-class omni-channel provider of retail gaming, iCasino, and sports betting entertainment. Additionally, our iCasino-forward strategy with long-term alignment to our core business will focus on cross-sell opportunities across our ecosystem and enhanced connectivity to our PENN Play loyalty program.</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Digital Strategy</w:t>
      </w:r>
    </w:p>
    <w:p>
      <w:pPr>
        <w:spacing w:after="0" w:line="182" w:lineRule="exact"/>
        <w:rPr>
          <w:sz w:val="20"/>
          <w:szCs w:val="20"/>
          <w:color w:val="auto"/>
        </w:rPr>
      </w:pPr>
    </w:p>
    <w:p>
      <w:pPr>
        <w:ind w:firstLine="319"/>
        <w:spacing w:after="0" w:line="272" w:lineRule="auto"/>
        <w:rPr>
          <w:sz w:val="20"/>
          <w:szCs w:val="20"/>
          <w:color w:val="auto"/>
        </w:rPr>
      </w:pPr>
      <w:r>
        <w:rPr>
          <w:rFonts w:ascii="Times New Roman" w:cs="Times New Roman" w:eastAsia="Times New Roman" w:hAnsi="Times New Roman"/>
          <w:sz w:val="17"/>
          <w:szCs w:val="17"/>
          <w:color w:val="auto"/>
        </w:rPr>
        <w:t>Our digital strategy prioritizes our U.S. iCasino and Canadian iCasino and OSB operations. We offer OSB in the U.S. and Canada under theScore Bet brand which serves as a top-of-funnel customer acquisition and cross-sell channel. Our iCasino strategy is aligned with our core business, which emphasizes cross-sell opportunities across our ecosystem and enhanced connectivity with our PENN Play loyalty program. Our Hollywood-branded iCasino remains integrated into our OSB product in U.S. jurisdictions where permitted, in addition to serving as a standalone iCasino app in both the U.S. and Canada. We also operate theScore iCasino, which is integrated into theScore Bet OSB app in Canada in addition to a standalone iCasino app under theScore brand in Canada.</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187960</wp:posOffset>
            </wp:positionV>
            <wp:extent cx="716026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 Pipeline</w:t>
      </w:r>
    </w:p>
    <w:p>
      <w:pPr>
        <w:spacing w:after="0" w:line="19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On September 14, 2026, the Company broke ground on a development project to relocate its Ameristar Council Bluffs riverboat casino operations to 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land-based property to be rebranded as Hollywood Casino Council Bluffs (“HCCB”). Under the proposed plan, the new HCCB is expected to include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roughly 125,000 square feet of new development, approximately 1,000 slots, 25 live table games, and two new dining experiences. The new facility will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complement the existing retail sportsbook, over 160-room hotel, and dining options in the landside portion of the current infrastructure. The project is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anticipated to cost between $180.0 million and $200.0 million and is expected to open in 2028. GLPI has committed to finance, at PENN’s request, up to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$150.0 million of the project at a 7.1% cap rate, which may be structured at PENN’s option as either rent or a 5-year term loan that is prepayable at any time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without penalty.</w:t>
      </w:r>
    </w:p>
    <w:p>
      <w:pPr>
        <w:spacing w:after="0" w:line="159" w:lineRule="exact"/>
        <w:rPr>
          <w:sz w:val="20"/>
          <w:szCs w:val="20"/>
          <w:color w:val="auto"/>
        </w:rPr>
      </w:pPr>
    </w:p>
    <w:p>
      <w:pPr>
        <w:ind w:right="220" w:firstLine="319"/>
        <w:spacing w:after="0" w:line="272" w:lineRule="auto"/>
        <w:rPr>
          <w:sz w:val="20"/>
          <w:szCs w:val="20"/>
          <w:color w:val="auto"/>
        </w:rPr>
      </w:pPr>
      <w:r>
        <w:rPr>
          <w:rFonts w:ascii="Times New Roman" w:cs="Times New Roman" w:eastAsia="Times New Roman" w:hAnsi="Times New Roman"/>
          <w:sz w:val="17"/>
          <w:szCs w:val="17"/>
          <w:color w:val="auto"/>
        </w:rPr>
        <w:t>On August 17, 2026, the Company announced plans to invest approximately $195.0 million to relocate its Boomtown Casino New Orleans (“BCNO”) riverboat casino operations to a new landside property on adjacent land and rebrand the property as Hollywood Casino New Orleans (“HCNO”). Under the proposed plan, the new HCNO is expected to open in 2029 and will include roughly 140,000 square feet of new development, approximately 875 slot machines, 45 live table games, a retail sportsbook, and multiple dining options. The existing riverboat will be vacated upon opening of the new landside property. PENN expects to finance the project with cash on hand, but may also access its balance sheet or other sources of liquidity.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Completed Development Projects</w:t>
      </w:r>
    </w:p>
    <w:p>
      <w:pPr>
        <w:spacing w:after="0" w:line="195" w:lineRule="exact"/>
        <w:rPr>
          <w:sz w:val="20"/>
          <w:szCs w:val="20"/>
          <w:color w:val="auto"/>
        </w:rPr>
      </w:pPr>
    </w:p>
    <w:p>
      <w:pPr>
        <w:ind w:right="20" w:firstLine="319"/>
        <w:spacing w:after="0" w:line="264" w:lineRule="auto"/>
        <w:rPr>
          <w:sz w:val="20"/>
          <w:szCs w:val="20"/>
          <w:color w:val="auto"/>
        </w:rPr>
      </w:pPr>
      <w:r>
        <w:rPr>
          <w:rFonts w:ascii="Times New Roman" w:cs="Times New Roman" w:eastAsia="Times New Roman" w:hAnsi="Times New Roman"/>
          <w:sz w:val="17"/>
          <w:szCs w:val="17"/>
          <w:color w:val="auto"/>
        </w:rPr>
        <w:t>The project to relocate the riverboat casino operations of Hollywood Casino Aurora (“Aurora”) to a new, land-based facility (the “Aurora Project”) opened on June 24, 2026. The facility features approximately 1,200 gaming positions, including high-limit slots and table games, a baccarat room and a sportsbook. The property also includes a premium hotel with 226 rooms and suites, outdoor entertainment area, full-service spa, high-quality bars and restaurants including Sorella by Giada and Boulevard Food &amp; Drink Hall, an approximately 12,000-square-foot event center with meeting areas, and roughly 1,700 parking spaces. The Aurora Project included the transfer of certain parcels of land from the City of Aurora and up to $50.0 million of the project will be funded by the city through tax increment financing bonds. We received $216.3 million in funding from GLPI on June 24, 2026 (representing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$225.0 million commitment of GLPI less costs incurred by GLPI with respect to certain land parcels associated with the Aurora Project), resulting in a</w:t>
      </w:r>
    </w:p>
    <w:p>
      <w:pPr>
        <w:spacing w:after="0" w:line="6"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8"/>
          <w:szCs w:val="18"/>
          <w:color w:val="auto"/>
        </w:rPr>
        <w:t>$17.4 million increase in annual rent, subject to annual escalation pursuant to the 2023 Master Lease. Additionally, the Company has received $35.9 million from the City of Aurora as of November 4, 2026.</w:t>
      </w:r>
    </w:p>
    <w:p>
      <w:pPr>
        <w:spacing w:after="0" w:line="144" w:lineRule="exact"/>
        <w:rPr>
          <w:sz w:val="20"/>
          <w:szCs w:val="20"/>
          <w:color w:val="auto"/>
        </w:rPr>
      </w:pPr>
    </w:p>
    <w:p>
      <w:pPr>
        <w:ind w:right="160" w:firstLine="319"/>
        <w:spacing w:after="0" w:line="255" w:lineRule="auto"/>
        <w:rPr>
          <w:sz w:val="20"/>
          <w:szCs w:val="20"/>
          <w:color w:val="auto"/>
        </w:rPr>
      </w:pPr>
      <w:r>
        <w:rPr>
          <w:rFonts w:ascii="Times New Roman" w:cs="Times New Roman" w:eastAsia="Times New Roman" w:hAnsi="Times New Roman"/>
          <w:sz w:val="18"/>
          <w:szCs w:val="18"/>
          <w:color w:val="auto"/>
        </w:rPr>
        <w:t>The new hotel tower at Hollywood Casino Columbus (“Columbus” and the project to develop the hotel tower, the “Columbus Project”) opened on June 12, 2026. The 203-room hotel represents a major expansion, offering guests modern, upscale accommodations at the city’s premier gaming, dining, and entertainment experience. The 150,000-square-foot tower features 183 standard rooms and 20 luxury suites, a full-service bar and restaurant, conference rooms, a fitness center, and an outdoor seating terrace. We did not request or receive any funding from GLPI for the Columbus Project.</w:t>
      </w:r>
    </w:p>
    <w:p>
      <w:pPr>
        <w:spacing w:after="0" w:line="209" w:lineRule="exact"/>
        <w:rPr>
          <w:sz w:val="20"/>
          <w:szCs w:val="20"/>
          <w:color w:val="auto"/>
        </w:rPr>
      </w:pPr>
    </w:p>
    <w:p>
      <w:pPr>
        <w:ind w:right="20" w:firstLine="319"/>
        <w:spacing w:after="0" w:line="253" w:lineRule="auto"/>
        <w:rPr>
          <w:sz w:val="20"/>
          <w:szCs w:val="20"/>
          <w:color w:val="auto"/>
        </w:rPr>
      </w:pPr>
      <w:r>
        <w:rPr>
          <w:rFonts w:ascii="Times New Roman" w:cs="Times New Roman" w:eastAsia="Times New Roman" w:hAnsi="Times New Roman"/>
          <w:sz w:val="18"/>
          <w:szCs w:val="18"/>
          <w:color w:val="auto"/>
        </w:rPr>
        <w:t>The second hotel tower at M Resort Spa Casino (“M Resort” and the project to develop the second hotel tower, the “M Resort Project”) opened on December 1, 2025. The M Resort Project added 375 rooms to the Company’s property south of the Las Vegas Strip, bringing its total to 765 rooms and suites. Along with the rooms, the project includes expanded meeting space, updated amenities, and additional local partnerships. On November 3, 2025, the Company received the full $150.0 million in committed funding from GLPI for the M Resort Project, resulting in an $11.7 million increase in annual rent, subject to annual escalation pursuant to the 2023 Master Lease.</w:t>
      </w:r>
    </w:p>
    <w:p>
      <w:pPr>
        <w:spacing w:after="0" w:line="144" w:lineRule="exact"/>
        <w:rPr>
          <w:sz w:val="20"/>
          <w:szCs w:val="20"/>
          <w:color w:val="auto"/>
        </w:rPr>
      </w:pPr>
    </w:p>
    <w:p>
      <w:pPr>
        <w:ind w:firstLine="319"/>
        <w:spacing w:after="0" w:line="252" w:lineRule="auto"/>
        <w:rPr>
          <w:sz w:val="20"/>
          <w:szCs w:val="20"/>
          <w:color w:val="auto"/>
        </w:rPr>
      </w:pPr>
      <w:r>
        <w:rPr>
          <w:rFonts w:ascii="Times New Roman" w:cs="Times New Roman" w:eastAsia="Times New Roman" w:hAnsi="Times New Roman"/>
          <w:sz w:val="18"/>
          <w:szCs w:val="18"/>
          <w:color w:val="auto"/>
        </w:rPr>
        <w:t>The project to relocate the riverboat casino operations of Hollywood Casino Joliet (“Joliet”) to a new, state-of-the-art land-based facility (the “Joliet Project”) opened on August 11, 2025. The best-in-class property features approximately 1,000 slots and 43 live table games, including high-limit slots and table games, a baccarat room, and a retail sportsbook. Its unique bars and restaurants include Sorellina by Giada De Laurentiis and Boulevard Food &amp; Drink Hall. Additional features of the new property include an approximately 10,000-square-foot, all-ages event center with meeting areas, and approximately 1,330 parking spaces. On August 1, 2025, the Company received the full $130.0 million in committed funding from GLPI for the Joliet Project, resulting in a $10.1 million increase in annual rent, subject to annual escalation pursuant to the 2023 Master Lease.</w:t>
      </w: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187960</wp:posOffset>
            </wp:positionV>
            <wp:extent cx="716026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and Competitive Environment</w:t>
      </w:r>
    </w:p>
    <w:p>
      <w:pPr>
        <w:spacing w:after="0" w:line="195" w:lineRule="exact"/>
        <w:rPr>
          <w:sz w:val="20"/>
          <w:szCs w:val="20"/>
          <w:color w:val="auto"/>
        </w:rPr>
      </w:pPr>
    </w:p>
    <w:p>
      <w:pPr>
        <w:ind w:right="60" w:firstLine="319"/>
        <w:spacing w:after="0" w:line="253" w:lineRule="auto"/>
        <w:rPr>
          <w:sz w:val="20"/>
          <w:szCs w:val="20"/>
          <w:color w:val="auto"/>
        </w:rPr>
      </w:pPr>
      <w:r>
        <w:rPr>
          <w:rFonts w:ascii="Times New Roman" w:cs="Times New Roman" w:eastAsia="Times New Roman" w:hAnsi="Times New Roman"/>
          <w:sz w:val="18"/>
          <w:szCs w:val="18"/>
          <w:color w:val="auto"/>
        </w:rPr>
        <w:t>Most of our properties operate in mature, competitive markets. We expect the majority of our future growth to come from our OSB and iCasino businesses; improvements, expansions, or relocations of our existing properties; entrance into new jurisdictions or verticals; expansions of gaming in existing jurisdictions; strategic investments and acquisitions; and cross-sell opportunities between our retail gaming, OSB, and iCasino businesses. Our portfolio is comprised largely of well-maintained regional gaming facilities, which has allowed us to develop what we believe to be a solid base for future growth opportunities.</w:t>
      </w:r>
    </w:p>
    <w:p>
      <w:pPr>
        <w:spacing w:after="0" w:line="144" w:lineRule="exact"/>
        <w:rPr>
          <w:sz w:val="20"/>
          <w:szCs w:val="20"/>
          <w:color w:val="auto"/>
        </w:rPr>
      </w:pPr>
    </w:p>
    <w:p>
      <w:pPr>
        <w:ind w:firstLine="319"/>
        <w:spacing w:after="0" w:line="268" w:lineRule="auto"/>
        <w:rPr>
          <w:sz w:val="20"/>
          <w:szCs w:val="20"/>
          <w:color w:val="auto"/>
        </w:rPr>
      </w:pPr>
      <w:r>
        <w:rPr>
          <w:rFonts w:ascii="Times New Roman" w:cs="Times New Roman" w:eastAsia="Times New Roman" w:hAnsi="Times New Roman"/>
          <w:sz w:val="17"/>
          <w:szCs w:val="17"/>
          <w:color w:val="auto"/>
        </w:rPr>
        <w:t>We continuously adjust operations, offerings, and cost structures to reflect changing economic conditions, as well as consumer demand and behaviors. We also continue to focus on technology enhancements, and providing customers with additional gaming and entertainment experiences through our differentiated omni-channel strategy. We seek to grow our customer database and PENN Play loyalty program through our iCasino and OSB businesses, the development of new properties, the expansion of existing properties and other business lines, and through partnerships with third-party partners, such as Shake Shack Inc., Ticketmaster Entertainment, LLC, Norwegian Cruise Line Holdings Ltd., Live Nation Entertainment, Inc., and Choice Hotels International, Inc. In addition, we believe that our online gaming offerings, combined with other strategic relationships we have, or may develop in the future, should enable us to acquire new customers, expand our player database, and provide additional revenue streams that enhance our omni-channel strategy.</w:t>
      </w:r>
    </w:p>
    <w:p>
      <w:pPr>
        <w:spacing w:after="0" w:line="132" w:lineRule="exact"/>
        <w:rPr>
          <w:sz w:val="20"/>
          <w:szCs w:val="20"/>
          <w:color w:val="auto"/>
        </w:rPr>
      </w:pPr>
    </w:p>
    <w:p>
      <w:pPr>
        <w:ind w:right="60" w:firstLine="319"/>
        <w:spacing w:after="0" w:line="252" w:lineRule="auto"/>
        <w:rPr>
          <w:sz w:val="20"/>
          <w:szCs w:val="20"/>
          <w:color w:val="auto"/>
        </w:rPr>
      </w:pPr>
      <w:r>
        <w:rPr>
          <w:rFonts w:ascii="Times New Roman" w:cs="Times New Roman" w:eastAsia="Times New Roman" w:hAnsi="Times New Roman"/>
          <w:sz w:val="18"/>
          <w:szCs w:val="18"/>
          <w:color w:val="auto"/>
        </w:rPr>
        <w:t xml:space="preserve">The gaming, media, and entertainment industries are characterized by an increasingly high degree of competition among a large number of participants. We compete with a variety of gaming operations, including casinos and hotel casinos of varying quality and size and other gaming options such as state and province-sponsored internet lotteries, sweepstakes, charitable gaming, video gaming terminals at bars, restaurants, taverns and truck stops, historical horse racing gaming terminals, illegal slot machines and skill games, fantasy sports and third-party internet or mobile-based gaming platforms, including both legal and illegal iCasino and sports betting operations, and emerging prediction markets. See the </w:t>
      </w:r>
      <w:r>
        <w:rPr>
          <w:rFonts w:ascii="Times New Roman" w:cs="Times New Roman" w:eastAsia="Times New Roman" w:hAnsi="Times New Roman"/>
          <w:sz w:val="18"/>
          <w:szCs w:val="18"/>
          <w:u w:val="single" w:color="auto"/>
          <w:color w:val="0000FF"/>
        </w:rPr>
        <w:t>“Segment Comparison of the Three and Nine Months Ended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September 30, 2026 and 2025”</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section below for a discussion of our results of operations by reportable segment.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Performance Indicators</w:t>
      </w:r>
    </w:p>
    <w:p>
      <w:pPr>
        <w:spacing w:after="0" w:line="182" w:lineRule="exact"/>
        <w:rPr>
          <w:sz w:val="20"/>
          <w:szCs w:val="20"/>
          <w:color w:val="auto"/>
        </w:rPr>
      </w:pPr>
    </w:p>
    <w:p>
      <w:pPr>
        <w:ind w:firstLine="319"/>
        <w:spacing w:after="0" w:line="266" w:lineRule="auto"/>
        <w:rPr>
          <w:sz w:val="20"/>
          <w:szCs w:val="20"/>
          <w:color w:val="auto"/>
        </w:rPr>
      </w:pPr>
      <w:r>
        <w:rPr>
          <w:rFonts w:ascii="Times New Roman" w:cs="Times New Roman" w:eastAsia="Times New Roman" w:hAnsi="Times New Roman"/>
          <w:sz w:val="17"/>
          <w:szCs w:val="17"/>
          <w:color w:val="auto"/>
        </w:rPr>
        <w:t>In our business, revenue is driven by discretionary consumer spending. We have no certain mechanism for determining why consumers choose to spend more or less money at our properties or on our online offerings from period-to-period; therefore, we are unable to quantify a dollar amount for each factor that impacts our customers’ spending behaviors. However, based on our experience, we can generally offer some insight into the factors that we believe are likely to account for such changes and which factors may have a greater impact than others. For example, decreases in discretionary consumer spending have historically been brought about by actual or perceived weakened general economic conditions, such as recessions, inflation, rising interest rate environments, tight credit conditions, high unemployment levels, higher income taxes, low levels of consumer confidence, weakness in the housing market, high fuel or other transportation costs, global hostilities, political or social unrest, and the effects of pandemics. In addition, visitation and the volume of play have historically been negatively affected by significant construction surrounding our properties, adverse regional weather conditions, and natural disasters. In all instances, such insights are based solely on our judgment and professional experience, and no assurance can be given as to the accuracy of our judgments.</w:t>
      </w:r>
    </w:p>
    <w:p>
      <w:pPr>
        <w:spacing w:after="0" w:line="135" w:lineRule="exact"/>
        <w:rPr>
          <w:sz w:val="20"/>
          <w:szCs w:val="20"/>
          <w:color w:val="auto"/>
        </w:rPr>
      </w:pPr>
    </w:p>
    <w:p>
      <w:pPr>
        <w:jc w:val="both"/>
        <w:ind w:right="100" w:firstLine="319"/>
        <w:spacing w:after="0" w:line="275" w:lineRule="auto"/>
        <w:rPr>
          <w:sz w:val="20"/>
          <w:szCs w:val="20"/>
          <w:color w:val="auto"/>
        </w:rPr>
      </w:pPr>
      <w:r>
        <w:rPr>
          <w:rFonts w:ascii="Times New Roman" w:cs="Times New Roman" w:eastAsia="Times New Roman" w:hAnsi="Times New Roman"/>
          <w:sz w:val="17"/>
          <w:szCs w:val="17"/>
          <w:color w:val="auto"/>
        </w:rPr>
        <w:t>The majority of our revenues consist of gaming revenue, which is highly dependent upon the volume and spending levels of customers at our properties. Our gaming revenue is derived primarily from slot machines (which represented approximately 86% of our gaming revenue for both the nine months ended September 30, 2026 and 2025) and, to a lesser extent, table games, OSB, and iCasino. Aside from gaming revenue, our revenues are derived from our hotel, dining, retail, commissions, program sales, admissions, concessions and certain other ancillary activities, and our racing operations.</w:t>
      </w:r>
    </w:p>
    <w:p>
      <w:pPr>
        <w:spacing w:after="0" w:line="140"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Key performance indicators related to gaming revenue are slot handle and table game drop, which are volume indicators, and “win” or “hold” percentage. Our typical property slot win percentage is in the range of approximately 5% to 11% of slot handle, and our typical table game hold percentage is in the range of approximately 12% to 30% of table game drop.</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179705</wp:posOffset>
            </wp:positionV>
            <wp:extent cx="716026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firstLine="319"/>
        <w:spacing w:after="0" w:line="250" w:lineRule="auto"/>
        <w:rPr>
          <w:sz w:val="20"/>
          <w:szCs w:val="20"/>
          <w:color w:val="auto"/>
        </w:rPr>
      </w:pPr>
      <w:r>
        <w:rPr>
          <w:rFonts w:ascii="Times New Roman" w:cs="Times New Roman" w:eastAsia="Times New Roman" w:hAnsi="Times New Roman"/>
          <w:sz w:val="18"/>
          <w:szCs w:val="18"/>
          <w:color w:val="auto"/>
        </w:rPr>
        <w:t>Slot handle is the gross amount wagered during a given period. The win or hold percentage is the net amount of gaming wins and losses, with liabilities recognized for accruals related to the anticipated payout of progressive jackpots. Given the stability in our slot hold percentages on a historical basis, we have not experienced significant impacts to net income from changes in these percentages. For table games, customers usually purchase chips at the tables. The cash and markers (extensions of credit granted to certain credit-worthy customers) are deposited in the gaming table’s drop box. Table game hold is the amount of drop that is retained and recorded as gaming revenue, with liabilities recognized for funds deposited by customers before gaming play occurs and for unredeemed gaming chips. As we are primarily focused on regional gaming markets, our table game hold percentages are fairly stable as the majority of these markets do not regularly experience high-value play, which can lead to volatility in hold percentages. Therefore, changes in table game hold percentages do not typically have a material impact to our results of operations and cash flows.</w:t>
      </w:r>
    </w:p>
    <w:p>
      <w:pPr>
        <w:spacing w:after="0" w:line="161" w:lineRule="exact"/>
        <w:rPr>
          <w:sz w:val="20"/>
          <w:szCs w:val="20"/>
          <w:color w:val="auto"/>
        </w:rPr>
      </w:pPr>
    </w:p>
    <w:p>
      <w:pPr>
        <w:ind w:right="120" w:firstLine="319"/>
        <w:spacing w:after="0" w:line="260" w:lineRule="auto"/>
        <w:rPr>
          <w:sz w:val="20"/>
          <w:szCs w:val="20"/>
          <w:color w:val="auto"/>
        </w:rPr>
      </w:pPr>
      <w:r>
        <w:rPr>
          <w:rFonts w:ascii="Times New Roman" w:cs="Times New Roman" w:eastAsia="Times New Roman" w:hAnsi="Times New Roman"/>
          <w:sz w:val="18"/>
          <w:szCs w:val="18"/>
          <w:color w:val="auto"/>
        </w:rPr>
        <w:t>Key performance indicators related to online gaming revenue, including OSB and iCasino, are handle, which is a volume indicator, and “win” or “hold” percentage. Our OSB win percentage is in the range of approximately 4.6% to 9.8% of online handle, and our iCasino win percentage is in the range of approximately 1.6% to 5.8% of online handle.</w:t>
      </w:r>
    </w:p>
    <w:p>
      <w:pPr>
        <w:spacing w:after="0" w:line="137" w:lineRule="exact"/>
        <w:rPr>
          <w:sz w:val="20"/>
          <w:szCs w:val="20"/>
          <w:color w:val="auto"/>
        </w:rPr>
      </w:pPr>
    </w:p>
    <w:p>
      <w:pPr>
        <w:ind w:firstLine="319"/>
        <w:spacing w:after="0" w:line="249" w:lineRule="auto"/>
        <w:rPr>
          <w:sz w:val="20"/>
          <w:szCs w:val="20"/>
          <w:color w:val="auto"/>
        </w:rPr>
      </w:pPr>
      <w:r>
        <w:rPr>
          <w:rFonts w:ascii="Times New Roman" w:cs="Times New Roman" w:eastAsia="Times New Roman" w:hAnsi="Times New Roman"/>
          <w:sz w:val="18"/>
          <w:szCs w:val="18"/>
          <w:color w:val="auto"/>
        </w:rPr>
        <w:t>For online gaming, customers deposit cash into their online accounts for use in OSB and iCasino play. Liabilities are recognized for online player account funds that have not been withdrawn and for wagers that have been placed on events that have not yet occurred. OSB handle is the gross amount wagered during a given period. The win or hold percentage is the net amount of gaming wins and losses, with liabilities recognized for any bonus funds deposited into player accounts. Given that OSB wagers are made based on the outcomes of future sporting events, the win or hold percentage can vary based on the bet type (i.e., straight wagers versus parlay wagers). Online slot handle is the gross amount wagered during a given period. The win or hold percentage is the net amount of gaming wins and losses, with liabilities recognized for accruals related to the anticipated payout of online progressive jackpots. Given the stability in our online slot hold percentages on a historical basis, we have not experienced significant impacts to the results of our operations or cash flows from changes in these percentages. Online table game hold is the amount of handle that is retained and recorded as gaming revenue. Our online table game hold percentages are fairly stable as we do not regularly experience high-value online play, which can lead to volatility in hold percentages. Given the stability in our online table game hold percentages on a historical basis, we have not experienced significant impacts to the results of our operations or cash flows from changes in these percentages.</w:t>
      </w:r>
    </w:p>
    <w:p>
      <w:pPr>
        <w:spacing w:after="0" w:line="148" w:lineRule="exact"/>
        <w:rPr>
          <w:sz w:val="20"/>
          <w:szCs w:val="20"/>
          <w:color w:val="auto"/>
        </w:rPr>
      </w:pPr>
    </w:p>
    <w:p>
      <w:pPr>
        <w:ind w:right="60" w:firstLine="319"/>
        <w:spacing w:after="0" w:line="253" w:lineRule="auto"/>
        <w:rPr>
          <w:sz w:val="20"/>
          <w:szCs w:val="20"/>
          <w:color w:val="auto"/>
        </w:rPr>
      </w:pPr>
      <w:r>
        <w:rPr>
          <w:rFonts w:ascii="Times New Roman" w:cs="Times New Roman" w:eastAsia="Times New Roman" w:hAnsi="Times New Roman"/>
          <w:sz w:val="18"/>
          <w:szCs w:val="18"/>
          <w:color w:val="auto"/>
        </w:rPr>
        <w:t xml:space="preserve">Under normal operating conditions, our properties generate significant operating cash flow since most of our revenue is cash-based from slot machines and table games. Our business is capital intensive and we rely on cash flow from our properties to generate sufficient cash to satisfy our obligations under the Triple Net Leases (as defined in </w:t>
      </w:r>
      <w:r>
        <w:rPr>
          <w:rFonts w:ascii="Times New Roman" w:cs="Times New Roman" w:eastAsia="Times New Roman" w:hAnsi="Times New Roman"/>
          <w:sz w:val="18"/>
          <w:szCs w:val="18"/>
          <w:u w:val="single" w:color="auto"/>
          <w:color w:val="0000FF"/>
        </w:rPr>
        <w:t>“Liquidity and Capital Resources”</w:t>
      </w:r>
      <w:r>
        <w:rPr>
          <w:rFonts w:ascii="Times New Roman" w:cs="Times New Roman" w:eastAsia="Times New Roman" w:hAnsi="Times New Roman"/>
          <w:sz w:val="18"/>
          <w:szCs w:val="18"/>
          <w:color w:val="auto"/>
        </w:rPr>
        <w:t xml:space="preserve">), repay debt, fund maintenance capital expenditures, repurchase our common stock, fund new capital projects at existing properties, and provide excess cash for future development and acquisitions. Additional information regarding our capital projects is discussed in </w:t>
      </w:r>
      <w:r>
        <w:rPr>
          <w:rFonts w:ascii="Times New Roman" w:cs="Times New Roman" w:eastAsia="Times New Roman" w:hAnsi="Times New Roman"/>
          <w:sz w:val="18"/>
          <w:szCs w:val="18"/>
          <w:u w:val="single" w:color="auto"/>
          <w:color w:val="0000FF"/>
        </w:rPr>
        <w:t>“Liquidity and Capital Resources”</w:t>
      </w:r>
      <w:r>
        <w:rPr>
          <w:rFonts w:ascii="Times New Roman" w:cs="Times New Roman" w:eastAsia="Times New Roman" w:hAnsi="Times New Roman"/>
          <w:sz w:val="18"/>
          <w:szCs w:val="18"/>
          <w:color w:val="auto"/>
        </w:rPr>
        <w:t xml:space="preserve"> below.</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Reportable Segments</w:t>
      </w:r>
    </w:p>
    <w:p>
      <w:pPr>
        <w:spacing w:after="0" w:line="182" w:lineRule="exact"/>
        <w:rPr>
          <w:sz w:val="20"/>
          <w:szCs w:val="20"/>
          <w:color w:val="auto"/>
        </w:rPr>
      </w:pPr>
    </w:p>
    <w:p>
      <w:pPr>
        <w:ind w:right="80" w:firstLine="319"/>
        <w:spacing w:after="0" w:line="255" w:lineRule="auto"/>
        <w:rPr>
          <w:sz w:val="20"/>
          <w:szCs w:val="20"/>
          <w:color w:val="auto"/>
        </w:rPr>
      </w:pPr>
      <w:r>
        <w:rPr>
          <w:rFonts w:ascii="Times New Roman" w:cs="Times New Roman" w:eastAsia="Times New Roman" w:hAnsi="Times New Roman"/>
          <w:sz w:val="18"/>
          <w:szCs w:val="18"/>
          <w:color w:val="auto"/>
        </w:rPr>
        <w:t>We have five reportable segments: Northeast, South, West, Midwest, and Interactive. The Northeast, South, West, and Midwest segments (referred to as our “retail segments”) primarily generate revenue from gaming operations (such as slot machines and table games), food and beverage offerings, and hotel visitation. The Interactive segment includes all of our OSB, iCasino, and social gaming (collectively referred to as “online gaming”) operations, management of retail sports betting, and media operations.</w:t>
      </w:r>
    </w:p>
    <w:p>
      <w:pPr>
        <w:spacing w:after="0" w:line="143" w:lineRule="exact"/>
        <w:rPr>
          <w:sz w:val="20"/>
          <w:szCs w:val="20"/>
          <w:color w:val="auto"/>
        </w:rPr>
      </w:pPr>
    </w:p>
    <w:p>
      <w:pPr>
        <w:ind w:right="40" w:firstLine="319"/>
        <w:spacing w:after="0" w:line="255" w:lineRule="auto"/>
        <w:rPr>
          <w:sz w:val="20"/>
          <w:szCs w:val="20"/>
          <w:color w:val="auto"/>
        </w:rPr>
      </w:pPr>
      <w:r>
        <w:rPr>
          <w:rFonts w:ascii="Times New Roman" w:cs="Times New Roman" w:eastAsia="Times New Roman" w:hAnsi="Times New Roman"/>
          <w:sz w:val="18"/>
          <w:szCs w:val="18"/>
          <w:color w:val="auto"/>
        </w:rPr>
        <w:t xml:space="preserve">Our gaming and racing properties are grouped by geographic location, and each is viewed as an operating segment with the exception of our two properties in Jackpot, Nevada, which are viewed as one operating segment. We consider our combined Video Gaming Terminal (“VGT”) operations, by state, to be separate operating segments. For a listing of our gaming properties and VGT operations included in each reportable segment, see </w:t>
      </w:r>
      <w:r>
        <w:rPr>
          <w:rFonts w:ascii="Times New Roman" w:cs="Times New Roman" w:eastAsia="Times New Roman" w:hAnsi="Times New Roman"/>
          <w:sz w:val="18"/>
          <w:szCs w:val="18"/>
          <w:u w:val="single" w:color="auto"/>
          <w:color w:val="0000FF"/>
        </w:rPr>
        <w:t>Note 2, “Significant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Accounting Policies and Basis of Presentation”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 the notes to the unaudited Consolidated Financial Statements.</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187960</wp:posOffset>
            </wp:positionV>
            <wp:extent cx="716026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93" w:lineRule="exact"/>
        <w:rPr>
          <w:sz w:val="20"/>
          <w:szCs w:val="20"/>
          <w:color w:val="auto"/>
        </w:rPr>
      </w:pPr>
    </w:p>
    <w:p>
      <w:pPr>
        <w:ind w:right="60" w:firstLine="319"/>
        <w:spacing w:after="0" w:line="252" w:lineRule="auto"/>
        <w:rPr>
          <w:sz w:val="20"/>
          <w:szCs w:val="20"/>
          <w:color w:val="auto"/>
        </w:rPr>
      </w:pPr>
      <w:r>
        <w:rPr>
          <w:rFonts w:ascii="Times New Roman" w:cs="Times New Roman" w:eastAsia="Times New Roman" w:hAnsi="Times New Roman"/>
          <w:sz w:val="18"/>
          <w:szCs w:val="18"/>
          <w:color w:val="auto"/>
        </w:rPr>
        <w:t xml:space="preserve">The following table highlights our revenues, reportable segment revenues, net income (loss), Consolidated Adjusted EBITDA, and Segment Adjusted EBITDAR. Such segment reporting is consistent with how we measure our business and allocate resources internally. We consider net income (loss) to be the most directly comparable financial measure calculated in accordance with generally accepted accounting principles in the United States (“GAAP”) to Consolidated Adjusted EBITDA, which is a non-GAAP financial measure. Refer to </w:t>
      </w:r>
      <w:r>
        <w:rPr>
          <w:rFonts w:ascii="Times New Roman" w:cs="Times New Roman" w:eastAsia="Times New Roman" w:hAnsi="Times New Roman"/>
          <w:sz w:val="18"/>
          <w:szCs w:val="18"/>
          <w:u w:val="single" w:color="auto"/>
          <w:color w:val="0000FF"/>
        </w:rPr>
        <w:t>“Reportable Segment Measures”</w:t>
      </w:r>
      <w:r>
        <w:rPr>
          <w:rFonts w:ascii="Times New Roman" w:cs="Times New Roman" w:eastAsia="Times New Roman" w:hAnsi="Times New Roman"/>
          <w:sz w:val="18"/>
          <w:szCs w:val="18"/>
          <w:color w:val="auto"/>
        </w:rPr>
        <w:t xml:space="preserve"> below for the definition of Segment Adjusted EBITDAR. Refer to </w:t>
      </w:r>
      <w:r>
        <w:rPr>
          <w:rFonts w:ascii="Times New Roman" w:cs="Times New Roman" w:eastAsia="Times New Roman" w:hAnsi="Times New Roman"/>
          <w:sz w:val="18"/>
          <w:szCs w:val="18"/>
          <w:u w:val="single" w:color="auto"/>
          <w:color w:val="0000FF"/>
        </w:rPr>
        <w:t>“Non-GAAP Financial Measure”</w:t>
      </w:r>
      <w:r>
        <w:rPr>
          <w:rFonts w:ascii="Times New Roman" w:cs="Times New Roman" w:eastAsia="Times New Roman" w:hAnsi="Times New Roman"/>
          <w:sz w:val="18"/>
          <w:szCs w:val="18"/>
          <w:color w:val="auto"/>
        </w:rPr>
        <w:t xml:space="preserve"> below for the definition of Consolidated Adjusted EBITDA as well as a reconciliation of net income (loss) to Consolidated Adjusted EBITDA.</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0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60" w:type="dxa"/>
            <w:vAlign w:val="bottom"/>
          </w:tcPr>
          <w:p>
            <w:pPr>
              <w:spacing w:after="0"/>
              <w:rPr>
                <w:sz w:val="17"/>
                <w:szCs w:val="17"/>
                <w:color w:val="auto"/>
              </w:rPr>
            </w:pPr>
          </w:p>
        </w:tc>
        <w:tc>
          <w:tcPr>
            <w:tcW w:w="2580" w:type="dxa"/>
            <w:vAlign w:val="bottom"/>
            <w:gridSpan w:val="4"/>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36"/>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Borders>
              <w:bottom w:val="single" w:sz="8" w:color="auto"/>
            </w:tcBorders>
          </w:tcPr>
          <w:p>
            <w:pPr>
              <w:spacing w:after="0"/>
              <w:rPr>
                <w:sz w:val="20"/>
                <w:szCs w:val="20"/>
                <w:color w:val="auto"/>
              </w:rPr>
            </w:pPr>
          </w:p>
        </w:tc>
      </w:tr>
      <w:tr>
        <w:trPr>
          <w:trHeight w:val="182"/>
        </w:trPr>
        <w:tc>
          <w:tcPr>
            <w:tcW w:w="54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40" w:type="dxa"/>
            <w:vAlign w:val="bottom"/>
          </w:tcPr>
          <w:p>
            <w:pPr>
              <w:spacing w:after="0"/>
              <w:rPr>
                <w:sz w:val="15"/>
                <w:szCs w:val="15"/>
                <w:color w:val="auto"/>
              </w:rPr>
            </w:pPr>
          </w:p>
        </w:tc>
        <w:tc>
          <w:tcPr>
            <w:tcW w:w="1120" w:type="dxa"/>
            <w:vAlign w:val="bottom"/>
          </w:tcPr>
          <w:p>
            <w:pPr>
              <w:jc w:val="right"/>
              <w:ind w:right="411"/>
              <w:spacing w:after="0" w:line="166" w:lineRule="exact"/>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jc w:val="right"/>
              <w:ind w:right="431"/>
              <w:spacing w:after="0" w:line="166" w:lineRule="exact"/>
              <w:rPr>
                <w:sz w:val="20"/>
                <w:szCs w:val="20"/>
                <w:color w:val="auto"/>
              </w:rPr>
            </w:pPr>
            <w:r>
              <w:rPr>
                <w:rFonts w:ascii="Times New Roman" w:cs="Times New Roman" w:eastAsia="Times New Roman" w:hAnsi="Times New Roman"/>
                <w:sz w:val="18"/>
                <w:szCs w:val="18"/>
                <w:b w:val="1"/>
                <w:bCs w:val="1"/>
                <w:color w:val="auto"/>
                <w:w w:val="94"/>
              </w:rPr>
              <w:t>2025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right"/>
              <w:ind w:right="411"/>
              <w:spacing w:after="0" w:line="166" w:lineRule="exact"/>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jc w:val="right"/>
              <w:ind w:right="411"/>
              <w:spacing w:after="0" w:line="166" w:lineRule="exact"/>
              <w:rPr>
                <w:sz w:val="20"/>
                <w:szCs w:val="20"/>
                <w:color w:val="auto"/>
              </w:rPr>
            </w:pPr>
            <w:r>
              <w:rPr>
                <w:rFonts w:ascii="Times New Roman" w:cs="Times New Roman" w:eastAsia="Times New Roman" w:hAnsi="Times New Roman"/>
                <w:sz w:val="18"/>
                <w:szCs w:val="18"/>
                <w:b w:val="1"/>
                <w:bCs w:val="1"/>
                <w:color w:val="auto"/>
                <w:w w:val="94"/>
              </w:rPr>
              <w:t>2025</w:t>
            </w:r>
          </w:p>
        </w:tc>
      </w:tr>
      <w:tr>
        <w:trPr>
          <w:trHeight w:val="33"/>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4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9"/>
        </w:trPr>
        <w:tc>
          <w:tcPr>
            <w:tcW w:w="5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9"/>
        </w:trPr>
        <w:tc>
          <w:tcPr>
            <w:tcW w:w="20" w:type="dxa"/>
            <w:vAlign w:val="bottom"/>
          </w:tcPr>
          <w:p>
            <w:pPr>
              <w:spacing w:after="0"/>
              <w:rPr>
                <w:sz w:val="20"/>
                <w:szCs w:val="20"/>
                <w:color w:val="auto"/>
              </w:rPr>
            </w:pPr>
          </w:p>
        </w:tc>
        <w:tc>
          <w:tcPr>
            <w:tcW w:w="5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Northeast segment</w:t>
            </w: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708.3</w:t>
            </w:r>
          </w:p>
        </w:tc>
        <w:tc>
          <w:tcPr>
            <w:tcW w:w="100" w:type="dxa"/>
            <w:vAlign w:val="bottom"/>
          </w:tcPr>
          <w:p>
            <w:pPr>
              <w:spacing w:after="0"/>
              <w:rPr>
                <w:sz w:val="20"/>
                <w:szCs w:val="20"/>
                <w:color w:val="auto"/>
              </w:rPr>
            </w:pPr>
          </w:p>
        </w:tc>
        <w:tc>
          <w:tcPr>
            <w:tcW w:w="50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690.5</w:t>
            </w:r>
          </w:p>
        </w:tc>
        <w:tc>
          <w:tcPr>
            <w:tcW w:w="100" w:type="dxa"/>
            <w:vAlign w:val="bottom"/>
          </w:tcPr>
          <w:p>
            <w:pPr>
              <w:spacing w:after="0"/>
              <w:rPr>
                <w:sz w:val="20"/>
                <w:szCs w:val="20"/>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2,127.0</w:t>
            </w:r>
          </w:p>
        </w:tc>
        <w:tc>
          <w:tcPr>
            <w:tcW w:w="120" w:type="dxa"/>
            <w:vAlign w:val="bottom"/>
          </w:tcPr>
          <w:p>
            <w:pPr>
              <w:spacing w:after="0"/>
              <w:rPr>
                <w:sz w:val="20"/>
                <w:szCs w:val="20"/>
                <w:color w:val="auto"/>
              </w:rPr>
            </w:pPr>
          </w:p>
        </w:tc>
        <w:tc>
          <w:tcPr>
            <w:tcW w:w="50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2,083.0</w:t>
            </w:r>
          </w:p>
        </w:tc>
      </w:tr>
      <w:tr>
        <w:trPr>
          <w:trHeight w:val="239"/>
        </w:trPr>
        <w:tc>
          <w:tcPr>
            <w:tcW w:w="20" w:type="dxa"/>
            <w:vAlign w:val="bottom"/>
            <w:shd w:val="clear" w:color="auto" w:fill="CCEEFF"/>
          </w:tcPr>
          <w:p>
            <w:pPr>
              <w:spacing w:after="0"/>
              <w:rPr>
                <w:sz w:val="20"/>
                <w:szCs w:val="20"/>
                <w:color w:val="auto"/>
              </w:rPr>
            </w:pPr>
          </w:p>
        </w:tc>
        <w:tc>
          <w:tcPr>
            <w:tcW w:w="5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South segment</w:t>
            </w: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291.8</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291.0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874.9</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881.5</w:t>
            </w:r>
          </w:p>
        </w:tc>
      </w:tr>
      <w:tr>
        <w:trPr>
          <w:trHeight w:val="239"/>
        </w:trPr>
        <w:tc>
          <w:tcPr>
            <w:tcW w:w="20" w:type="dxa"/>
            <w:vAlign w:val="bottom"/>
          </w:tcPr>
          <w:p>
            <w:pPr>
              <w:spacing w:after="0"/>
              <w:rPr>
                <w:sz w:val="20"/>
                <w:szCs w:val="20"/>
                <w:color w:val="auto"/>
              </w:rPr>
            </w:pPr>
          </w:p>
        </w:tc>
        <w:tc>
          <w:tcPr>
            <w:tcW w:w="5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West segment</w:t>
            </w:r>
          </w:p>
        </w:tc>
        <w:tc>
          <w:tcPr>
            <w:tcW w:w="2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147.5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138.3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444.9</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405.7</w:t>
            </w:r>
          </w:p>
        </w:tc>
      </w:tr>
      <w:tr>
        <w:trPr>
          <w:trHeight w:val="239"/>
        </w:trPr>
        <w:tc>
          <w:tcPr>
            <w:tcW w:w="20" w:type="dxa"/>
            <w:vAlign w:val="bottom"/>
            <w:shd w:val="clear" w:color="auto" w:fill="CCEEFF"/>
          </w:tcPr>
          <w:p>
            <w:pPr>
              <w:spacing w:after="0"/>
              <w:rPr>
                <w:sz w:val="20"/>
                <w:szCs w:val="20"/>
                <w:color w:val="auto"/>
              </w:rPr>
            </w:pPr>
          </w:p>
        </w:tc>
        <w:tc>
          <w:tcPr>
            <w:tcW w:w="5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Midwest segment</w:t>
            </w: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341.9</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298.3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968.4</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878.2</w:t>
            </w:r>
          </w:p>
        </w:tc>
      </w:tr>
      <w:tr>
        <w:trPr>
          <w:trHeight w:val="239"/>
        </w:trPr>
        <w:tc>
          <w:tcPr>
            <w:tcW w:w="20" w:type="dxa"/>
            <w:vAlign w:val="bottom"/>
          </w:tcPr>
          <w:p>
            <w:pPr>
              <w:spacing w:after="0"/>
              <w:rPr>
                <w:sz w:val="20"/>
                <w:szCs w:val="20"/>
                <w:color w:val="auto"/>
              </w:rPr>
            </w:pPr>
          </w:p>
        </w:tc>
        <w:tc>
          <w:tcPr>
            <w:tcW w:w="5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Interactive segment</w:t>
            </w:r>
          </w:p>
        </w:tc>
        <w:tc>
          <w:tcPr>
            <w:tcW w:w="2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348.4</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297.7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1,056.0</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903.9</w:t>
            </w:r>
          </w:p>
        </w:tc>
      </w:tr>
      <w:tr>
        <w:trPr>
          <w:trHeight w:val="239"/>
        </w:trPr>
        <w:tc>
          <w:tcPr>
            <w:tcW w:w="20" w:type="dxa"/>
            <w:vAlign w:val="bottom"/>
            <w:shd w:val="clear" w:color="auto" w:fill="CCEEFF"/>
          </w:tcPr>
          <w:p>
            <w:pPr>
              <w:spacing w:after="0"/>
              <w:rPr>
                <w:sz w:val="20"/>
                <w:szCs w:val="20"/>
                <w:color w:val="auto"/>
              </w:rPr>
            </w:pPr>
          </w:p>
        </w:tc>
        <w:tc>
          <w:tcPr>
            <w:tcW w:w="5440" w:type="dxa"/>
            <w:vAlign w:val="bottom"/>
            <w:gridSpan w:val="2"/>
            <w:shd w:val="clear" w:color="auto" w:fill="CCEEFF"/>
          </w:tcPr>
          <w:p>
            <w:pPr>
              <w:ind w:left="120"/>
              <w:spacing w:after="0" w:line="239"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15.1</w:t>
            </w:r>
          </w:p>
        </w:tc>
      </w:tr>
      <w:tr>
        <w:trPr>
          <w:trHeight w:val="239"/>
        </w:trPr>
        <w:tc>
          <w:tcPr>
            <w:tcW w:w="20" w:type="dxa"/>
            <w:vAlign w:val="bottom"/>
            <w:tcBorders>
              <w:bottom w:val="single" w:sz="8" w:color="CCEEFF"/>
            </w:tcBorders>
          </w:tcPr>
          <w:p>
            <w:pPr>
              <w:spacing w:after="0"/>
              <w:rPr>
                <w:sz w:val="20"/>
                <w:szCs w:val="20"/>
                <w:color w:val="auto"/>
              </w:rPr>
            </w:pPr>
          </w:p>
        </w:tc>
        <w:tc>
          <w:tcPr>
            <w:tcW w:w="5440" w:type="dxa"/>
            <w:vAlign w:val="bottom"/>
            <w:tcBorders>
              <w:bottom w:val="single" w:sz="8" w:color="CCEEFF"/>
            </w:tcBorders>
            <w:gridSpan w:val="2"/>
          </w:tcPr>
          <w:p>
            <w:pPr>
              <w:ind w:left="120"/>
              <w:spacing w:after="0" w:line="239" w:lineRule="exact"/>
              <w:rPr>
                <w:sz w:val="20"/>
                <w:szCs w:val="20"/>
                <w:color w:val="auto"/>
              </w:rPr>
            </w:pPr>
            <w:r>
              <w:rPr>
                <w:rFonts w:ascii="Times New Roman" w:cs="Times New Roman" w:eastAsia="Times New Roman" w:hAnsi="Times New Roman"/>
                <w:sz w:val="18"/>
                <w:szCs w:val="18"/>
                <w:color w:val="auto"/>
              </w:rPr>
              <w:t xml:space="preserve">Intersegment eliminations </w:t>
            </w:r>
            <w:r>
              <w:rPr>
                <w:rFonts w:ascii="Times New Roman" w:cs="Times New Roman" w:eastAsia="Times New Roman" w:hAnsi="Times New Roman"/>
                <w:sz w:val="23"/>
                <w:szCs w:val="23"/>
                <w:color w:val="auto"/>
                <w:vertAlign w:val="superscript"/>
              </w:rPr>
              <w:t>(2)</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(12.6)</w:t>
            </w:r>
          </w:p>
        </w:tc>
      </w:tr>
      <w:tr>
        <w:trPr>
          <w:trHeight w:val="257"/>
        </w:trPr>
        <w:tc>
          <w:tcPr>
            <w:tcW w:w="20" w:type="dxa"/>
            <w:vAlign w:val="bottom"/>
            <w:tcBorders>
              <w:bottom w:val="single" w:sz="8" w:color="CCEEFF"/>
            </w:tcBorders>
            <w:shd w:val="clear" w:color="auto" w:fill="CCEEFF"/>
          </w:tcPr>
          <w:p>
            <w:pPr>
              <w:spacing w:after="0"/>
              <w:rPr>
                <w:sz w:val="21"/>
                <w:szCs w:val="21"/>
                <w:color w:val="auto"/>
              </w:rPr>
            </w:pPr>
          </w:p>
        </w:tc>
        <w:tc>
          <w:tcPr>
            <w:tcW w:w="544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1,840.0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1,717.3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5,476.4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5,154.8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9"/>
        </w:trPr>
        <w:tc>
          <w:tcPr>
            <w:tcW w:w="5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(865.1)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62.4</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(771.9)</w:t>
            </w: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39"/>
        </w:trPr>
        <w:tc>
          <w:tcPr>
            <w:tcW w:w="5460" w:type="dxa"/>
            <w:vAlign w:val="bottom"/>
            <w:gridSpan w:val="3"/>
            <w:shd w:val="clear" w:color="auto" w:fill="CCEEFF"/>
          </w:tcPr>
          <w:p>
            <w:pPr>
              <w:ind w:left="20"/>
              <w:spacing w:after="0" w:line="239" w:lineRule="exact"/>
              <w:rPr>
                <w:sz w:val="20"/>
                <w:szCs w:val="20"/>
                <w:color w:val="auto"/>
              </w:rPr>
            </w:pPr>
            <w:r>
              <w:rPr>
                <w:rFonts w:ascii="Times New Roman" w:cs="Times New Roman" w:eastAsia="Times New Roman" w:hAnsi="Times New Roman"/>
                <w:sz w:val="18"/>
                <w:szCs w:val="18"/>
                <w:b w:val="1"/>
                <w:bCs w:val="1"/>
                <w:color w:val="auto"/>
              </w:rPr>
              <w:t xml:space="preserve">Segment Adjusted EBITDAR </w:t>
            </w:r>
            <w:r>
              <w:rPr>
                <w:rFonts w:ascii="Times New Roman" w:cs="Times New Roman" w:eastAsia="Times New Roman" w:hAnsi="Times New Roman"/>
                <w:sz w:val="23"/>
                <w:szCs w:val="23"/>
                <w:b w:val="1"/>
                <w:bCs w:val="1"/>
                <w:color w:val="auto"/>
                <w:vertAlign w:val="superscript"/>
              </w:rPr>
              <w:t>(3)</w:t>
            </w: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39"/>
        </w:trPr>
        <w:tc>
          <w:tcPr>
            <w:tcW w:w="20" w:type="dxa"/>
            <w:vAlign w:val="bottom"/>
          </w:tcPr>
          <w:p>
            <w:pPr>
              <w:spacing w:after="0"/>
              <w:rPr>
                <w:sz w:val="20"/>
                <w:szCs w:val="20"/>
                <w:color w:val="auto"/>
              </w:rPr>
            </w:pPr>
          </w:p>
        </w:tc>
        <w:tc>
          <w:tcPr>
            <w:tcW w:w="5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Northeast segment</w:t>
            </w: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208.1</w:t>
            </w:r>
          </w:p>
        </w:tc>
        <w:tc>
          <w:tcPr>
            <w:tcW w:w="100" w:type="dxa"/>
            <w:vAlign w:val="bottom"/>
          </w:tcPr>
          <w:p>
            <w:pPr>
              <w:spacing w:after="0"/>
              <w:rPr>
                <w:sz w:val="20"/>
                <w:szCs w:val="20"/>
                <w:color w:val="auto"/>
              </w:rPr>
            </w:pPr>
          </w:p>
        </w:tc>
        <w:tc>
          <w:tcPr>
            <w:tcW w:w="50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197.9</w:t>
            </w:r>
          </w:p>
        </w:tc>
        <w:tc>
          <w:tcPr>
            <w:tcW w:w="100" w:type="dxa"/>
            <w:vAlign w:val="bottom"/>
          </w:tcPr>
          <w:p>
            <w:pPr>
              <w:spacing w:after="0"/>
              <w:rPr>
                <w:sz w:val="20"/>
                <w:szCs w:val="20"/>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622.8</w:t>
            </w:r>
          </w:p>
        </w:tc>
        <w:tc>
          <w:tcPr>
            <w:tcW w:w="120" w:type="dxa"/>
            <w:vAlign w:val="bottom"/>
          </w:tcPr>
          <w:p>
            <w:pPr>
              <w:spacing w:after="0"/>
              <w:rPr>
                <w:sz w:val="20"/>
                <w:szCs w:val="20"/>
                <w:color w:val="auto"/>
              </w:rPr>
            </w:pPr>
          </w:p>
        </w:tc>
        <w:tc>
          <w:tcPr>
            <w:tcW w:w="50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601.6</w:t>
            </w:r>
          </w:p>
        </w:tc>
      </w:tr>
      <w:tr>
        <w:trPr>
          <w:trHeight w:val="239"/>
        </w:trPr>
        <w:tc>
          <w:tcPr>
            <w:tcW w:w="20" w:type="dxa"/>
            <w:vAlign w:val="bottom"/>
            <w:shd w:val="clear" w:color="auto" w:fill="CCEEFF"/>
          </w:tcPr>
          <w:p>
            <w:pPr>
              <w:spacing w:after="0"/>
              <w:rPr>
                <w:sz w:val="20"/>
                <w:szCs w:val="20"/>
                <w:color w:val="auto"/>
              </w:rPr>
            </w:pPr>
          </w:p>
        </w:tc>
        <w:tc>
          <w:tcPr>
            <w:tcW w:w="5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South segment</w:t>
            </w: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108.3</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321.5</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305.8</w:t>
            </w:r>
          </w:p>
        </w:tc>
      </w:tr>
      <w:tr>
        <w:trPr>
          <w:trHeight w:val="239"/>
        </w:trPr>
        <w:tc>
          <w:tcPr>
            <w:tcW w:w="20" w:type="dxa"/>
            <w:vAlign w:val="bottom"/>
          </w:tcPr>
          <w:p>
            <w:pPr>
              <w:spacing w:after="0"/>
              <w:rPr>
                <w:sz w:val="20"/>
                <w:szCs w:val="20"/>
                <w:color w:val="auto"/>
              </w:rPr>
            </w:pPr>
          </w:p>
        </w:tc>
        <w:tc>
          <w:tcPr>
            <w:tcW w:w="5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West segment</w:t>
            </w:r>
          </w:p>
        </w:tc>
        <w:tc>
          <w:tcPr>
            <w:tcW w:w="2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159.9</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150.3</w:t>
            </w:r>
          </w:p>
        </w:tc>
      </w:tr>
      <w:tr>
        <w:trPr>
          <w:trHeight w:val="239"/>
        </w:trPr>
        <w:tc>
          <w:tcPr>
            <w:tcW w:w="20" w:type="dxa"/>
            <w:vAlign w:val="bottom"/>
            <w:shd w:val="clear" w:color="auto" w:fill="CCEEFF"/>
          </w:tcPr>
          <w:p>
            <w:pPr>
              <w:spacing w:after="0"/>
              <w:rPr>
                <w:sz w:val="20"/>
                <w:szCs w:val="20"/>
                <w:color w:val="auto"/>
              </w:rPr>
            </w:pPr>
          </w:p>
        </w:tc>
        <w:tc>
          <w:tcPr>
            <w:tcW w:w="5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Midwest segment</w:t>
            </w: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134.5</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119.1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386.2</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354.7</w:t>
            </w:r>
          </w:p>
        </w:tc>
      </w:tr>
      <w:tr>
        <w:trPr>
          <w:trHeight w:val="239"/>
        </w:trPr>
        <w:tc>
          <w:tcPr>
            <w:tcW w:w="20" w:type="dxa"/>
            <w:vAlign w:val="bottom"/>
          </w:tcPr>
          <w:p>
            <w:pPr>
              <w:spacing w:after="0"/>
              <w:rPr>
                <w:sz w:val="20"/>
                <w:szCs w:val="20"/>
                <w:color w:val="auto"/>
              </w:rPr>
            </w:pPr>
          </w:p>
        </w:tc>
        <w:tc>
          <w:tcPr>
            <w:tcW w:w="5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Interactive segment</w:t>
            </w:r>
          </w:p>
        </w:tc>
        <w:tc>
          <w:tcPr>
            <w:tcW w:w="2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(227.6)</w:t>
            </w:r>
          </w:p>
        </w:tc>
      </w:tr>
      <w:tr>
        <w:trPr>
          <w:trHeight w:val="239"/>
        </w:trPr>
        <w:tc>
          <w:tcPr>
            <w:tcW w:w="20" w:type="dxa"/>
            <w:vAlign w:val="bottom"/>
            <w:shd w:val="clear" w:color="auto" w:fill="CCEEFF"/>
          </w:tcPr>
          <w:p>
            <w:pPr>
              <w:spacing w:after="0"/>
              <w:rPr>
                <w:sz w:val="20"/>
                <w:szCs w:val="20"/>
                <w:color w:val="auto"/>
              </w:rPr>
            </w:pPr>
          </w:p>
        </w:tc>
        <w:tc>
          <w:tcPr>
            <w:tcW w:w="5440" w:type="dxa"/>
            <w:vAlign w:val="bottom"/>
            <w:gridSpan w:val="2"/>
            <w:shd w:val="clear" w:color="auto" w:fill="CCEEFF"/>
          </w:tcPr>
          <w:p>
            <w:pPr>
              <w:ind w:left="120"/>
              <w:spacing w:after="0" w:line="239"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(94.9)</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(110.5)</w:t>
            </w:r>
          </w:p>
        </w:tc>
      </w:tr>
      <w:tr>
        <w:trPr>
          <w:trHeight w:val="239"/>
        </w:trPr>
        <w:tc>
          <w:tcPr>
            <w:tcW w:w="20" w:type="dxa"/>
            <w:vAlign w:val="bottom"/>
            <w:tcBorders>
              <w:bottom w:val="single" w:sz="8" w:color="CCEEFF"/>
            </w:tcBorders>
          </w:tcPr>
          <w:p>
            <w:pPr>
              <w:spacing w:after="0"/>
              <w:rPr>
                <w:sz w:val="20"/>
                <w:szCs w:val="20"/>
                <w:color w:val="auto"/>
              </w:rPr>
            </w:pPr>
          </w:p>
        </w:tc>
        <w:tc>
          <w:tcPr>
            <w:tcW w:w="5440" w:type="dxa"/>
            <w:vAlign w:val="bottom"/>
            <w:tcBorders>
              <w:bottom w:val="single" w:sz="8" w:color="CCEEFF"/>
            </w:tcBorders>
            <w:gridSpan w:val="2"/>
          </w:tcPr>
          <w:p>
            <w:pPr>
              <w:ind w:left="120"/>
              <w:spacing w:after="0" w:line="239" w:lineRule="exact"/>
              <w:rPr>
                <w:sz w:val="20"/>
                <w:szCs w:val="20"/>
                <w:color w:val="auto"/>
              </w:rPr>
            </w:pPr>
            <w:r>
              <w:rPr>
                <w:rFonts w:ascii="Times New Roman" w:cs="Times New Roman" w:eastAsia="Times New Roman" w:hAnsi="Times New Roman"/>
                <w:sz w:val="18"/>
                <w:szCs w:val="18"/>
                <w:color w:val="auto"/>
              </w:rPr>
              <w:t xml:space="preserve">Rent expense associated with triple net operating leases </w:t>
            </w:r>
            <w:r>
              <w:rPr>
                <w:rFonts w:ascii="Times New Roman" w:cs="Times New Roman" w:eastAsia="Times New Roman" w:hAnsi="Times New Roman"/>
                <w:sz w:val="23"/>
                <w:szCs w:val="23"/>
                <w:color w:val="auto"/>
                <w:vertAlign w:val="superscript"/>
              </w:rPr>
              <w:t>(4)</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(167.9)</w:t>
            </w:r>
          </w:p>
        </w:tc>
        <w:tc>
          <w:tcPr>
            <w:tcW w:w="10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(158.1)</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(494.4)</w:t>
            </w:r>
          </w:p>
        </w:tc>
        <w:tc>
          <w:tcPr>
            <w:tcW w:w="12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(470.0)</w:t>
            </w:r>
          </w:p>
        </w:tc>
      </w:tr>
      <w:tr>
        <w:trPr>
          <w:trHeight w:val="257"/>
        </w:trPr>
        <w:tc>
          <w:tcPr>
            <w:tcW w:w="20" w:type="dxa"/>
            <w:vAlign w:val="bottom"/>
            <w:tcBorders>
              <w:bottom w:val="single" w:sz="8" w:color="CCEEFF"/>
            </w:tcBorders>
            <w:shd w:val="clear" w:color="auto" w:fill="CCEEFF"/>
          </w:tcPr>
          <w:p>
            <w:pPr>
              <w:spacing w:after="0"/>
              <w:rPr>
                <w:sz w:val="21"/>
                <w:szCs w:val="21"/>
                <w:color w:val="auto"/>
              </w:rPr>
            </w:pPr>
          </w:p>
        </w:tc>
        <w:tc>
          <w:tcPr>
            <w:tcW w:w="5440" w:type="dxa"/>
            <w:vAlign w:val="bottom"/>
            <w:tcBorders>
              <w:bottom w:val="single" w:sz="8" w:color="CCEEFF"/>
            </w:tcBorders>
            <w:gridSpan w:val="2"/>
            <w:shd w:val="clear" w:color="auto" w:fill="CCEEFF"/>
          </w:tcPr>
          <w:p>
            <w:pPr>
              <w:ind w:left="320"/>
              <w:spacing w:after="0" w:line="232" w:lineRule="exact"/>
              <w:rPr>
                <w:sz w:val="20"/>
                <w:szCs w:val="20"/>
                <w:color w:val="auto"/>
              </w:rPr>
            </w:pPr>
            <w:r>
              <w:rPr>
                <w:rFonts w:ascii="Times New Roman" w:cs="Times New Roman" w:eastAsia="Times New Roman" w:hAnsi="Times New Roman"/>
                <w:sz w:val="18"/>
                <w:szCs w:val="18"/>
                <w:b w:val="1"/>
                <w:bCs w:val="1"/>
                <w:color w:val="auto"/>
              </w:rPr>
              <w:t xml:space="preserve">Consolidated Adjusted EBITDA </w:t>
            </w:r>
            <w:r>
              <w:rPr>
                <w:rFonts w:ascii="Times New Roman" w:cs="Times New Roman" w:eastAsia="Times New Roman" w:hAnsi="Times New Roman"/>
                <w:sz w:val="23"/>
                <w:szCs w:val="23"/>
                <w:b w:val="1"/>
                <w:bCs w:val="1"/>
                <w:color w:val="auto"/>
                <w:vertAlign w:val="superscript"/>
              </w:rPr>
              <w:t>(5)</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284.0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194.9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862.4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604.3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50" w:lineRule="exact"/>
        <w:rPr>
          <w:sz w:val="20"/>
          <w:szCs w:val="20"/>
          <w:color w:val="auto"/>
        </w:rPr>
      </w:pPr>
    </w:p>
    <w:p>
      <w:pPr>
        <w:ind w:left="640" w:right="20" w:hanging="315"/>
        <w:spacing w:after="0" w:line="259" w:lineRule="auto"/>
        <w:tabs>
          <w:tab w:leader="none" w:pos="632"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Other category, included in the tables to reconcile the segment information to the consolidated information, consists of the Company’s standalone racing operations, namely Sanford-Orlando Kennel Club, Sam Houston and Valley Race Park, and our management contract for Retama Park Racetrack. Expenses incurred for corporate and shared services activities that are directly attributable to a property or are otherwise incurred to support a property are allocated to each property. The Other category also includes corporate overhead, which consists of certain expenses, such as: payroll, professional fees, travel expenses, and other general and administrative expenses that do not directly relate to a reportable segment or have not otherwise been allocated. Corporate overhead was $30.4 million and $34.0 million for the three months ended September 30, 2026 and 2025, respectively, and $88.1 million and $108.7 million for the nine months ended September 30, 2026 and 2025, respectively. Corporate overhead for the three and nine months ended September 30, 2025 included $3.9 million and $21.0 million, respectively, of legal and advisory costs related to activist activity in connection with our 2025 annual meeting of shareholders.</w:t>
      </w:r>
    </w:p>
    <w:p>
      <w:pPr>
        <w:spacing w:after="0" w:line="32" w:lineRule="exact"/>
        <w:rPr>
          <w:rFonts w:ascii="Times New Roman" w:cs="Times New Roman" w:eastAsia="Times New Roman" w:hAnsi="Times New Roman"/>
          <w:sz w:val="14"/>
          <w:szCs w:val="14"/>
          <w:color w:val="auto"/>
        </w:rPr>
      </w:pPr>
    </w:p>
    <w:p>
      <w:pPr>
        <w:ind w:left="640" w:hanging="315"/>
        <w:spacing w:after="0"/>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represents the elimination of intersegment revenues associated with our retail sportsbooks, which are operated by PENN Interactive.</w:t>
      </w:r>
    </w:p>
    <w:p>
      <w:pPr>
        <w:spacing w:after="0" w:line="64" w:lineRule="exact"/>
        <w:rPr>
          <w:rFonts w:ascii="Times New Roman" w:cs="Times New Roman" w:eastAsia="Times New Roman" w:hAnsi="Times New Roman"/>
          <w:sz w:val="14"/>
          <w:szCs w:val="14"/>
          <w:color w:val="auto"/>
        </w:rPr>
      </w:pPr>
    </w:p>
    <w:p>
      <w:pPr>
        <w:ind w:left="640" w:hanging="315"/>
        <w:spacing w:after="0"/>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See definition of “Segment Adjusted EBITDAR” within the </w:t>
      </w:r>
      <w:r>
        <w:rPr>
          <w:rFonts w:ascii="Times New Roman" w:cs="Times New Roman" w:eastAsia="Times New Roman" w:hAnsi="Times New Roman"/>
          <w:sz w:val="14"/>
          <w:szCs w:val="14"/>
          <w:u w:val="single" w:color="auto"/>
          <w:color w:val="0000FF"/>
        </w:rPr>
        <w:t>“Reportable Segment Measures”</w:t>
      </w:r>
      <w:r>
        <w:rPr>
          <w:rFonts w:ascii="Times New Roman" w:cs="Times New Roman" w:eastAsia="Times New Roman" w:hAnsi="Times New Roman"/>
          <w:sz w:val="14"/>
          <w:szCs w:val="14"/>
          <w:color w:val="auto"/>
        </w:rPr>
        <w:t xml:space="preserve"> section below.</w:t>
      </w:r>
    </w:p>
    <w:p>
      <w:pPr>
        <w:spacing w:after="0" w:line="51" w:lineRule="exact"/>
        <w:rPr>
          <w:rFonts w:ascii="Times New Roman" w:cs="Times New Roman" w:eastAsia="Times New Roman" w:hAnsi="Times New Roman"/>
          <w:sz w:val="14"/>
          <w:szCs w:val="14"/>
          <w:color w:val="auto"/>
        </w:rPr>
      </w:pPr>
    </w:p>
    <w:p>
      <w:pPr>
        <w:ind w:left="640" w:right="340" w:hanging="315"/>
        <w:spacing w:after="0" w:line="291" w:lineRule="auto"/>
        <w:tabs>
          <w:tab w:leader="none" w:pos="632"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Pertains to the following operating leases: (i) AR PENN Master Lease; (ii) 2023 Master Lease; (iii) Margaritaville Lease (for the period January 1, 2025 to September 30, 2025); (iv) Greektown Lease (for the period January 1, 2025 to September 30, 2025); and (v) VICI Master Lease (for the period January 1, 2026 to September 30, 2026).</w:t>
      </w:r>
    </w:p>
    <w:p>
      <w:pPr>
        <w:spacing w:after="0" w:line="8" w:lineRule="exact"/>
        <w:rPr>
          <w:rFonts w:ascii="Times New Roman" w:cs="Times New Roman" w:eastAsia="Times New Roman" w:hAnsi="Times New Roman"/>
          <w:sz w:val="14"/>
          <w:szCs w:val="14"/>
          <w:color w:val="auto"/>
        </w:rPr>
      </w:pPr>
    </w:p>
    <w:p>
      <w:pPr>
        <w:ind w:left="640" w:hanging="315"/>
        <w:spacing w:after="0"/>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See definition of “Consolidated Adjusted EBITDA” within the </w:t>
      </w:r>
      <w:r>
        <w:rPr>
          <w:rFonts w:ascii="Times New Roman" w:cs="Times New Roman" w:eastAsia="Times New Roman" w:hAnsi="Times New Roman"/>
          <w:sz w:val="14"/>
          <w:szCs w:val="14"/>
          <w:u w:val="single" w:color="auto"/>
          <w:color w:val="0000FF"/>
        </w:rPr>
        <w:t>“Non-GAAP Financial Measure”</w:t>
      </w:r>
      <w:r>
        <w:rPr>
          <w:rFonts w:ascii="Times New Roman" w:cs="Times New Roman" w:eastAsia="Times New Roman" w:hAnsi="Times New Roman"/>
          <w:sz w:val="14"/>
          <w:szCs w:val="14"/>
          <w:color w:val="auto"/>
        </w:rPr>
        <w:t xml:space="preserve"> section below.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179705</wp:posOffset>
            </wp:positionV>
            <wp:extent cx="716026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Comparison of the Three and Nine Months Ended September 30, 2026 and 2025</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our consolidated revenues: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100" w:type="dxa"/>
            <w:vAlign w:val="bottom"/>
            <w:gridSpan w:val="6"/>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For the three months ended</w:t>
            </w:r>
          </w:p>
        </w:tc>
        <w:tc>
          <w:tcPr>
            <w:tcW w:w="260" w:type="dxa"/>
            <w:vAlign w:val="bottom"/>
          </w:tcPr>
          <w:p>
            <w:pPr>
              <w:spacing w:after="0"/>
              <w:rPr>
                <w:sz w:val="16"/>
                <w:szCs w:val="16"/>
                <w:color w:val="auto"/>
              </w:rPr>
            </w:pPr>
          </w:p>
        </w:tc>
        <w:tc>
          <w:tcPr>
            <w:tcW w:w="1140" w:type="dxa"/>
            <w:vAlign w:val="bottom"/>
            <w:gridSpan w:val="3"/>
            <w:vMerge w:val="restart"/>
          </w:tcPr>
          <w:p>
            <w:pPr>
              <w:ind w:left="5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gridSpan w:val="6"/>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For the nine months ended</w:t>
            </w:r>
          </w:p>
        </w:tc>
        <w:tc>
          <w:tcPr>
            <w:tcW w:w="260" w:type="dxa"/>
            <w:vAlign w:val="bottom"/>
          </w:tcPr>
          <w:p>
            <w:pPr>
              <w:spacing w:after="0"/>
              <w:rPr>
                <w:sz w:val="16"/>
                <w:szCs w:val="16"/>
                <w:color w:val="auto"/>
              </w:rPr>
            </w:pPr>
          </w:p>
        </w:tc>
        <w:tc>
          <w:tcPr>
            <w:tcW w:w="1140" w:type="dxa"/>
            <w:vAlign w:val="bottom"/>
            <w:gridSpan w:val="3"/>
            <w:vMerge w:val="restart"/>
          </w:tcPr>
          <w:p>
            <w:pPr>
              <w:ind w:left="5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60" w:type="dxa"/>
            <w:vAlign w:val="bottom"/>
          </w:tcPr>
          <w:p>
            <w:pPr>
              <w:spacing w:after="0"/>
              <w:rPr>
                <w:sz w:val="18"/>
                <w:szCs w:val="18"/>
                <w:color w:val="auto"/>
              </w:rPr>
            </w:pPr>
          </w:p>
        </w:tc>
        <w:tc>
          <w:tcPr>
            <w:tcW w:w="1140" w:type="dxa"/>
            <w:vAlign w:val="bottom"/>
            <w:gridSpan w:val="3"/>
            <w:vMerge w:val="continue"/>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60" w:type="dxa"/>
            <w:vAlign w:val="bottom"/>
          </w:tcPr>
          <w:p>
            <w:pPr>
              <w:spacing w:after="0"/>
              <w:rPr>
                <w:sz w:val="18"/>
                <w:szCs w:val="18"/>
                <w:color w:val="auto"/>
              </w:rPr>
            </w:pPr>
          </w:p>
        </w:tc>
        <w:tc>
          <w:tcPr>
            <w:tcW w:w="1140" w:type="dxa"/>
            <w:vAlign w:val="bottom"/>
            <w:gridSpan w:val="3"/>
            <w:vMerge w:val="continue"/>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720" w:type="dxa"/>
            <w:vAlign w:val="bottom"/>
            <w:gridSpan w:val="3"/>
          </w:tcPr>
          <w:p>
            <w:pPr>
              <w:ind w:left="20"/>
              <w:spacing w:after="0" w:line="153" w:lineRule="exact"/>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240"/>
              <w:spacing w:after="0" w:line="153" w:lineRule="exact"/>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220"/>
              <w:spacing w:after="0" w:line="153" w:lineRule="exact"/>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ind w:right="36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36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240"/>
              <w:spacing w:after="0" w:line="153" w:lineRule="exact"/>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220"/>
              <w:spacing w:after="0" w:line="153" w:lineRule="exact"/>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ind w:right="36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36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1160" w:type="dxa"/>
            <w:vAlign w:val="bottom"/>
            <w:tcBorders>
              <w:top w:val="single" w:sz="8" w:color="auto"/>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Gaming</w:t>
            </w: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1,371.2</w:t>
            </w:r>
          </w:p>
        </w:tc>
        <w:tc>
          <w:tcPr>
            <w:tcW w:w="100" w:type="dxa"/>
            <w:vAlign w:val="bottom"/>
          </w:tcPr>
          <w:p>
            <w:pPr>
              <w:spacing w:after="0"/>
              <w:rPr>
                <w:sz w:val="19"/>
                <w:szCs w:val="19"/>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1,325.2</w:t>
            </w:r>
          </w:p>
        </w:tc>
        <w:tc>
          <w:tcPr>
            <w:tcW w:w="120" w:type="dxa"/>
            <w:vAlign w:val="bottom"/>
          </w:tcPr>
          <w:p>
            <w:pPr>
              <w:spacing w:after="0"/>
              <w:rPr>
                <w:sz w:val="19"/>
                <w:szCs w:val="19"/>
                <w:color w:val="auto"/>
              </w:rPr>
            </w:pP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120" w:type="dxa"/>
            <w:vAlign w:val="bottom"/>
          </w:tcPr>
          <w:p>
            <w:pPr>
              <w:spacing w:after="0"/>
              <w:rPr>
                <w:sz w:val="19"/>
                <w:szCs w:val="19"/>
                <w:color w:val="auto"/>
              </w:rPr>
            </w:pP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4,102.1</w:t>
            </w:r>
          </w:p>
        </w:tc>
        <w:tc>
          <w:tcPr>
            <w:tcW w:w="100" w:type="dxa"/>
            <w:vAlign w:val="bottom"/>
          </w:tcPr>
          <w:p>
            <w:pPr>
              <w:spacing w:after="0"/>
              <w:rPr>
                <w:sz w:val="19"/>
                <w:szCs w:val="19"/>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3,991.2</w:t>
            </w:r>
          </w:p>
        </w:tc>
        <w:tc>
          <w:tcPr>
            <w:tcW w:w="120" w:type="dxa"/>
            <w:vAlign w:val="bottom"/>
          </w:tcPr>
          <w:p>
            <w:pPr>
              <w:spacing w:after="0"/>
              <w:rPr>
                <w:sz w:val="19"/>
                <w:szCs w:val="19"/>
                <w:color w:val="auto"/>
              </w:rPr>
            </w:pPr>
          </w:p>
        </w:tc>
        <w:tc>
          <w:tcPr>
            <w:tcW w:w="2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2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Food, beverage, hotel, and other</w:t>
            </w: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19.6 %</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1,374.3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1,163.6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18.1 %</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0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Total revenues</w:t>
            </w: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1,840.0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1,717.3</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7.1 %</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5,476.4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5,154.8</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ind w:right="60" w:firstLine="319"/>
        <w:spacing w:after="0" w:line="277" w:lineRule="auto"/>
        <w:rPr>
          <w:sz w:val="20"/>
          <w:szCs w:val="20"/>
          <w:color w:val="auto"/>
        </w:rPr>
      </w:pPr>
      <w:r>
        <w:rPr>
          <w:rFonts w:ascii="Times New Roman" w:cs="Times New Roman" w:eastAsia="Times New Roman" w:hAnsi="Times New Roman"/>
          <w:sz w:val="17"/>
          <w:szCs w:val="17"/>
          <w:b w:val="1"/>
          <w:bCs w:val="1"/>
          <w:i w:val="1"/>
          <w:iCs w:val="1"/>
          <w:color w:val="auto"/>
        </w:rPr>
        <w:t xml:space="preserve">Gaming revenues </w:t>
      </w:r>
      <w:r>
        <w:rPr>
          <w:rFonts w:ascii="Times New Roman" w:cs="Times New Roman" w:eastAsia="Times New Roman" w:hAnsi="Times New Roman"/>
          <w:sz w:val="17"/>
          <w:szCs w:val="17"/>
          <w:color w:val="auto"/>
        </w:rPr>
        <w:t>for the three months ended September 30, 2026 increased by $46.0 million compared to the corresponding prior year period. Increased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spend per visit contributed to the growth in gaming revenues at our retail segments. The openings of the recent development projects, as described above in the </w:t>
      </w:r>
      <w:r>
        <w:rPr>
          <w:rFonts w:ascii="Times New Roman" w:cs="Times New Roman" w:eastAsia="Times New Roman" w:hAnsi="Times New Roman"/>
          <w:sz w:val="17"/>
          <w:szCs w:val="17"/>
          <w:u w:val="single" w:color="auto"/>
          <w:color w:val="0000FF"/>
        </w:rPr>
        <w:t>“Executive Overview,”</w:t>
      </w:r>
      <w:r>
        <w:rPr>
          <w:rFonts w:ascii="Times New Roman" w:cs="Times New Roman" w:eastAsia="Times New Roman" w:hAnsi="Times New Roman"/>
          <w:sz w:val="17"/>
          <w:szCs w:val="17"/>
          <w:color w:val="auto"/>
        </w:rPr>
        <w:t xml:space="preserve"> contributed to increases in gaming revenues during the current year period. In our Interactive segment, online gaming revenues decreased as growth in our iCasino revenues was offset by decreases in OSB revenues due to lower handle compared to the corresponding prior year period.</w:t>
      </w:r>
    </w:p>
    <w:p>
      <w:pPr>
        <w:spacing w:after="0" w:line="137" w:lineRule="exact"/>
        <w:rPr>
          <w:sz w:val="20"/>
          <w:szCs w:val="20"/>
          <w:color w:val="auto"/>
        </w:rPr>
      </w:pPr>
    </w:p>
    <w:p>
      <w:pPr>
        <w:ind w:right="20" w:firstLine="319"/>
        <w:spacing w:after="0" w:line="251" w:lineRule="auto"/>
        <w:rPr>
          <w:sz w:val="20"/>
          <w:szCs w:val="20"/>
          <w:color w:val="auto"/>
        </w:rPr>
      </w:pPr>
      <w:r>
        <w:rPr>
          <w:rFonts w:ascii="Times New Roman" w:cs="Times New Roman" w:eastAsia="Times New Roman" w:hAnsi="Times New Roman"/>
          <w:sz w:val="18"/>
          <w:szCs w:val="18"/>
          <w:color w:val="auto"/>
        </w:rPr>
        <w:t xml:space="preserve">Gaming revenues for the nine months ended September 30, 2026 increased by $110.9 million compared to the corresponding prior year period. Increased spend per visit contributed to the growth in gaming revenues at our Northeast, West, and Midwest segments. The openings of the recent development projects, as described above in the </w:t>
      </w:r>
      <w:r>
        <w:rPr>
          <w:rFonts w:ascii="Times New Roman" w:cs="Times New Roman" w:eastAsia="Times New Roman" w:hAnsi="Times New Roman"/>
          <w:sz w:val="18"/>
          <w:szCs w:val="18"/>
          <w:u w:val="single" w:color="auto"/>
          <w:color w:val="0000FF"/>
        </w:rPr>
        <w:t>“Executive Overview,”</w:t>
      </w:r>
      <w:r>
        <w:rPr>
          <w:rFonts w:ascii="Times New Roman" w:cs="Times New Roman" w:eastAsia="Times New Roman" w:hAnsi="Times New Roman"/>
          <w:sz w:val="18"/>
          <w:szCs w:val="18"/>
          <w:color w:val="auto"/>
        </w:rPr>
        <w:t xml:space="preserve"> contributed to increases in gaming revenues during the current year period. In our Interactive segment, online gaming revenues decreased as growth in our iCasino revenues was offset by decreases in OSB revenues due to lower handle compared to the corresponding prior year period. Increases in gaming revenues at our Northeast, West, and Midwest segments were also offset by a decrease in gaming revenues within our South segment as new supply negatively affected visitation and weather events negatively affected revenues during the first quarter of 2026.</w:t>
      </w:r>
    </w:p>
    <w:p>
      <w:pPr>
        <w:spacing w:after="0" w:line="141" w:lineRule="exact"/>
        <w:rPr>
          <w:sz w:val="20"/>
          <w:szCs w:val="20"/>
          <w:color w:val="auto"/>
        </w:rPr>
      </w:pPr>
    </w:p>
    <w:p>
      <w:pPr>
        <w:ind w:right="60" w:firstLine="31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Food, beverage, hotel, and other revenues </w:t>
      </w:r>
      <w:r>
        <w:rPr>
          <w:rFonts w:ascii="Times New Roman" w:cs="Times New Roman" w:eastAsia="Times New Roman" w:hAnsi="Times New Roman"/>
          <w:sz w:val="18"/>
          <w:szCs w:val="18"/>
          <w:color w:val="auto"/>
        </w:rPr>
        <w:t>for the three and nine months ended September 30, 2026 increased by $76.7 million and $210.7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respectively, compared to the corresponding prior year periods. For the three and nine months ended September 30, 2026, the increases were primarily due to increases in gaming tax reimbursement amounts related to third-party OSB and/or iCasino partners for OSB and iCasino market access of $51.9 million and $157.1 million, respectively, compared to the corresponding prior year periods. Additionally, the recent openings of our new hotel tower at Columbus, second hotel tower at M Resort, new land-based Aurora facility, and new land-based Joliet facility contributed to increases in hotel and food and beverage revenues within our Northeast, West, and Midwest segments.</w:t>
      </w:r>
    </w:p>
    <w:p>
      <w:pPr>
        <w:spacing w:after="0" w:line="142" w:lineRule="exact"/>
        <w:rPr>
          <w:sz w:val="20"/>
          <w:szCs w:val="20"/>
          <w:color w:val="auto"/>
        </w:rPr>
      </w:pPr>
    </w:p>
    <w:p>
      <w:pPr>
        <w:ind w:right="80" w:firstLine="319"/>
        <w:spacing w:after="0" w:line="275"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“Segment Comparison of the Three and Nine Months Ended September 30, 2026 and 2025”</w:t>
      </w:r>
      <w:r>
        <w:rPr>
          <w:rFonts w:ascii="Times New Roman" w:cs="Times New Roman" w:eastAsia="Times New Roman" w:hAnsi="Times New Roman"/>
          <w:sz w:val="18"/>
          <w:szCs w:val="18"/>
          <w:color w:val="auto"/>
        </w:rPr>
        <w:t xml:space="preserve"> below for more detailed explanations of the fluctuations in revenues.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187960</wp:posOffset>
            </wp:positionV>
            <wp:extent cx="716026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9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our consolidated operating expenses: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100" w:type="dxa"/>
            <w:vAlign w:val="bottom"/>
            <w:gridSpan w:val="6"/>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For the three months ended</w:t>
            </w:r>
          </w:p>
        </w:tc>
        <w:tc>
          <w:tcPr>
            <w:tcW w:w="260" w:type="dxa"/>
            <w:vAlign w:val="bottom"/>
          </w:tcPr>
          <w:p>
            <w:pPr>
              <w:spacing w:after="0"/>
              <w:rPr>
                <w:sz w:val="16"/>
                <w:szCs w:val="16"/>
                <w:color w:val="auto"/>
              </w:rPr>
            </w:pPr>
          </w:p>
        </w:tc>
        <w:tc>
          <w:tcPr>
            <w:tcW w:w="1140" w:type="dxa"/>
            <w:vAlign w:val="bottom"/>
            <w:gridSpan w:val="3"/>
            <w:vMerge w:val="restart"/>
          </w:tcPr>
          <w:p>
            <w:pPr>
              <w:ind w:left="5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gridSpan w:val="6"/>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For the nine months ended</w:t>
            </w:r>
          </w:p>
        </w:tc>
        <w:tc>
          <w:tcPr>
            <w:tcW w:w="260" w:type="dxa"/>
            <w:vAlign w:val="bottom"/>
          </w:tcPr>
          <w:p>
            <w:pPr>
              <w:spacing w:after="0"/>
              <w:rPr>
                <w:sz w:val="16"/>
                <w:szCs w:val="16"/>
                <w:color w:val="auto"/>
              </w:rPr>
            </w:pPr>
          </w:p>
        </w:tc>
        <w:tc>
          <w:tcPr>
            <w:tcW w:w="1140" w:type="dxa"/>
            <w:vAlign w:val="bottom"/>
            <w:gridSpan w:val="3"/>
            <w:vMerge w:val="restart"/>
          </w:tcPr>
          <w:p>
            <w:pPr>
              <w:ind w:left="5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60" w:type="dxa"/>
            <w:vAlign w:val="bottom"/>
          </w:tcPr>
          <w:p>
            <w:pPr>
              <w:spacing w:after="0"/>
              <w:rPr>
                <w:sz w:val="18"/>
                <w:szCs w:val="18"/>
                <w:color w:val="auto"/>
              </w:rPr>
            </w:pPr>
          </w:p>
        </w:tc>
        <w:tc>
          <w:tcPr>
            <w:tcW w:w="1140" w:type="dxa"/>
            <w:vAlign w:val="bottom"/>
            <w:gridSpan w:val="3"/>
            <w:vMerge w:val="continue"/>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60" w:type="dxa"/>
            <w:vAlign w:val="bottom"/>
          </w:tcPr>
          <w:p>
            <w:pPr>
              <w:spacing w:after="0"/>
              <w:rPr>
                <w:sz w:val="18"/>
                <w:szCs w:val="18"/>
                <w:color w:val="auto"/>
              </w:rPr>
            </w:pPr>
          </w:p>
        </w:tc>
        <w:tc>
          <w:tcPr>
            <w:tcW w:w="1140" w:type="dxa"/>
            <w:vAlign w:val="bottom"/>
            <w:gridSpan w:val="3"/>
            <w:vMerge w:val="continue"/>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720" w:type="dxa"/>
            <w:vAlign w:val="bottom"/>
            <w:gridSpan w:val="3"/>
          </w:tcPr>
          <w:p>
            <w:pPr>
              <w:ind w:left="20"/>
              <w:spacing w:after="0" w:line="153" w:lineRule="exact"/>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240"/>
              <w:spacing w:after="0" w:line="153" w:lineRule="exact"/>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220"/>
              <w:spacing w:after="0" w:line="153" w:lineRule="exact"/>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ind w:right="36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36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240"/>
              <w:spacing w:after="0" w:line="153" w:lineRule="exact"/>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220"/>
              <w:spacing w:after="0" w:line="153" w:lineRule="exact"/>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ind w:right="36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36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1160" w:type="dxa"/>
            <w:vAlign w:val="bottom"/>
            <w:tcBorders>
              <w:top w:val="single" w:sz="8" w:color="auto"/>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Gaming</w:t>
            </w: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815.0</w:t>
            </w:r>
          </w:p>
        </w:tc>
        <w:tc>
          <w:tcPr>
            <w:tcW w:w="100" w:type="dxa"/>
            <w:vAlign w:val="bottom"/>
          </w:tcPr>
          <w:p>
            <w:pPr>
              <w:spacing w:after="0"/>
              <w:rPr>
                <w:sz w:val="19"/>
                <w:szCs w:val="19"/>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852.4</w:t>
            </w:r>
          </w:p>
        </w:tc>
        <w:tc>
          <w:tcPr>
            <w:tcW w:w="120" w:type="dxa"/>
            <w:vAlign w:val="bottom"/>
          </w:tcPr>
          <w:p>
            <w:pPr>
              <w:spacing w:after="0"/>
              <w:rPr>
                <w:sz w:val="19"/>
                <w:szCs w:val="19"/>
                <w:color w:val="auto"/>
              </w:rPr>
            </w:pP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tcPr>
          <w:p>
            <w:pPr>
              <w:spacing w:after="0"/>
              <w:rPr>
                <w:sz w:val="19"/>
                <w:szCs w:val="19"/>
                <w:color w:val="auto"/>
              </w:rPr>
            </w:pP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2,456.2</w:t>
            </w:r>
          </w:p>
        </w:tc>
        <w:tc>
          <w:tcPr>
            <w:tcW w:w="100" w:type="dxa"/>
            <w:vAlign w:val="bottom"/>
          </w:tcPr>
          <w:p>
            <w:pPr>
              <w:spacing w:after="0"/>
              <w:rPr>
                <w:sz w:val="19"/>
                <w:szCs w:val="19"/>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2,575.9</w:t>
            </w:r>
          </w:p>
        </w:tc>
        <w:tc>
          <w:tcPr>
            <w:tcW w:w="120" w:type="dxa"/>
            <w:vAlign w:val="bottom"/>
          </w:tcPr>
          <w:p>
            <w:pPr>
              <w:spacing w:after="0"/>
              <w:rPr>
                <w:sz w:val="19"/>
                <w:szCs w:val="19"/>
                <w:color w:val="auto"/>
              </w:rPr>
            </w:pPr>
          </w:p>
        </w:tc>
        <w:tc>
          <w:tcPr>
            <w:tcW w:w="2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2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Food, beverage, hotel, and other</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1,231.2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2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7.8 %</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27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Impairment losses</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825.0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(817.0)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(99.0)%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840.0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(832.0)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(99.0)%</w:t>
            </w:r>
          </w:p>
        </w:tc>
        <w:tc>
          <w:tcPr>
            <w:tcW w:w="0" w:type="dxa"/>
            <w:vAlign w:val="bottom"/>
          </w:tcPr>
          <w:p>
            <w:pPr>
              <w:spacing w:after="0"/>
              <w:rPr>
                <w:sz w:val="1"/>
                <w:szCs w:val="1"/>
                <w:color w:val="auto"/>
              </w:rPr>
            </w:pPr>
          </w:p>
        </w:tc>
      </w:tr>
      <w:tr>
        <w:trPr>
          <w:trHeight w:val="247"/>
        </w:trPr>
        <w:tc>
          <w:tcPr>
            <w:tcW w:w="20" w:type="dxa"/>
            <w:vAlign w:val="bottom"/>
            <w:tcBorders>
              <w:bottom w:val="single" w:sz="8" w:color="CCEEFF"/>
            </w:tcBorders>
            <w:shd w:val="clear" w:color="auto" w:fill="CCEEFF"/>
          </w:tcPr>
          <w:p>
            <w:pPr>
              <w:spacing w:after="0"/>
              <w:rPr>
                <w:sz w:val="21"/>
                <w:szCs w:val="21"/>
                <w:color w:val="auto"/>
              </w:rPr>
            </w:pPr>
          </w:p>
        </w:tc>
        <w:tc>
          <w:tcPr>
            <w:tcW w:w="270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ind w:right="40" w:firstLine="319"/>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Gaming expenses </w:t>
      </w:r>
      <w:r>
        <w:rPr>
          <w:rFonts w:ascii="Times New Roman" w:cs="Times New Roman" w:eastAsia="Times New Roman" w:hAnsi="Times New Roman"/>
          <w:sz w:val="17"/>
          <w:szCs w:val="17"/>
          <w:color w:val="auto"/>
        </w:rPr>
        <w:t>primarily consist of gaming taxes, payroll, marketing and promotional expenses, and other expenses associated with our gaming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operations. Gaming expenses for the three and nine months ended September 30, 2026 decreased by $37.4 million and $119.7 million, respectively, compared to the corresponding prior year periods, due primarily to decreases in marketing expenses at our Interactive segment. During the corresponding prior year periods, we incurred additional marketing expenses to support our promotion of ESPN BET within our Interactive segment. The decrease in gaming expenses was partially offset by increases in gaming taxes at our Northeast, Midwest, and West segments related to increased gaming revenues as discussed above.</w:t>
      </w:r>
    </w:p>
    <w:p>
      <w:pPr>
        <w:spacing w:after="0" w:line="123" w:lineRule="exact"/>
        <w:rPr>
          <w:sz w:val="20"/>
          <w:szCs w:val="20"/>
          <w:color w:val="auto"/>
        </w:rPr>
      </w:pPr>
    </w:p>
    <w:p>
      <w:pPr>
        <w:jc w:val="both"/>
        <w:ind w:right="60" w:firstLine="31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Food, beverage, hotel, and other expenses </w:t>
      </w:r>
      <w:r>
        <w:rPr>
          <w:rFonts w:ascii="Times New Roman" w:cs="Times New Roman" w:eastAsia="Times New Roman" w:hAnsi="Times New Roman"/>
          <w:sz w:val="18"/>
          <w:szCs w:val="18"/>
          <w:color w:val="auto"/>
        </w:rPr>
        <w:t>consist primarily of payroll expenses, costs of goods sold, and other costs associated with our food, beverage,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hotel, retail, racing, and Interactive operations. Food, beverage, hotel, and other expenses for the three and nine months ended September 30, 2026 increased by $61.3 million and $177.5 million, respectively, compared to the corresponding prior year periods, primarily due to increases in gaming tax reimbursement amounts related to third-party OSB and/or iCasino partners for OSB and iCasino market access.</w:t>
      </w:r>
    </w:p>
    <w:p>
      <w:pPr>
        <w:spacing w:after="0" w:line="149" w:lineRule="exact"/>
        <w:rPr>
          <w:sz w:val="20"/>
          <w:szCs w:val="20"/>
          <w:color w:val="auto"/>
        </w:rPr>
      </w:pPr>
    </w:p>
    <w:p>
      <w:pPr>
        <w:ind w:firstLine="319"/>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General and administrative expenses </w:t>
      </w:r>
      <w:r>
        <w:rPr>
          <w:rFonts w:ascii="Times New Roman" w:cs="Times New Roman" w:eastAsia="Times New Roman" w:hAnsi="Times New Roman"/>
          <w:sz w:val="17"/>
          <w:szCs w:val="17"/>
          <w:color w:val="auto"/>
        </w:rPr>
        <w:t>include items such as compliance, facility maintenance, utilities, property and liability insurance, surveillance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security, and lobbying expenses, as well as all expenses for administrative departments such as accounting, purchasing, human resources, legal and internal audit. General and administrative expenses also include stock-based compensation expense, pre-opening expenses, acquisition and transaction costs, gains and losses on disposal of assets, insurance recoveries, net of deductible charges, changes in the fair value of our contingent purchase price obligations, expense associated with cash-settled stock-based awards (including changes in fair value thereto), and rent expense associated with our triple net operating leases.</w:t>
      </w:r>
    </w:p>
    <w:p>
      <w:pPr>
        <w:spacing w:after="0" w:line="127" w:lineRule="exact"/>
        <w:rPr>
          <w:sz w:val="20"/>
          <w:szCs w:val="20"/>
          <w:color w:val="auto"/>
        </w:rPr>
      </w:pPr>
    </w:p>
    <w:p>
      <w:pPr>
        <w:ind w:right="20" w:firstLine="319"/>
        <w:spacing w:after="0" w:line="267" w:lineRule="auto"/>
        <w:rPr>
          <w:sz w:val="20"/>
          <w:szCs w:val="20"/>
          <w:color w:val="auto"/>
        </w:rPr>
      </w:pPr>
      <w:r>
        <w:rPr>
          <w:rFonts w:ascii="Times New Roman" w:cs="Times New Roman" w:eastAsia="Times New Roman" w:hAnsi="Times New Roman"/>
          <w:sz w:val="17"/>
          <w:szCs w:val="17"/>
          <w:color w:val="auto"/>
        </w:rPr>
        <w:t xml:space="preserve">For the three months ended September 30, 2026, general and administrative expenses remained relatively flat. For the nine months ended September 30, 2026, general and administrative expenses increased by $57.9 million compared to the corresponding prior year period, primarily due to transaction costs and pre-opening expenses related to the Aurora Project and the Columbus Project, as well as increases in rent expense due to the 2023 Master Lease modifications associated with the Aurora, M Resort, and Joliet Projects, as discussed above in the </w:t>
      </w:r>
      <w:r>
        <w:rPr>
          <w:rFonts w:ascii="Times New Roman" w:cs="Times New Roman" w:eastAsia="Times New Roman" w:hAnsi="Times New Roman"/>
          <w:sz w:val="17"/>
          <w:szCs w:val="17"/>
          <w:u w:val="single" w:color="auto"/>
          <w:color w:val="0000FF"/>
        </w:rPr>
        <w:t>“Executive Overview.”</w:t>
      </w:r>
      <w:r>
        <w:rPr>
          <w:rFonts w:ascii="Times New Roman" w:cs="Times New Roman" w:eastAsia="Times New Roman" w:hAnsi="Times New Roman"/>
          <w:sz w:val="17"/>
          <w:szCs w:val="17"/>
          <w:color w:val="auto"/>
        </w:rPr>
        <w:t xml:space="preserve"> For the nine months ended September 30, 2026, general and administrative expenses also included settlement costs and related legal and advisory fees associated with the Cooperation Agreement with HG Vora Capital Management, LLC and related parties, as well as non-recurring restructuring charges (primarily severance) related to the Company’s new corporate organizational structure. For the three and nine months ended September 30, 2025, general and administrative expenses also included legal and advisory costs related to activist activity incurred in connection with our 2025 annual meeting of shareholders of $3.9 million and $21.0 million, respectively.</w:t>
      </w:r>
    </w:p>
    <w:p>
      <w:pPr>
        <w:spacing w:after="0" w:line="129" w:lineRule="exact"/>
        <w:rPr>
          <w:sz w:val="20"/>
          <w:szCs w:val="20"/>
          <w:color w:val="auto"/>
        </w:rPr>
      </w:pPr>
    </w:p>
    <w:p>
      <w:pPr>
        <w:ind w:firstLine="31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Depreciation and amortization </w:t>
      </w:r>
      <w:r>
        <w:rPr>
          <w:rFonts w:ascii="Times New Roman" w:cs="Times New Roman" w:eastAsia="Times New Roman" w:hAnsi="Times New Roman"/>
          <w:sz w:val="18"/>
          <w:szCs w:val="18"/>
          <w:color w:val="auto"/>
        </w:rPr>
        <w:t>for the three and nine months ended September 30, 2026 increased $9.6 million and $25.9 million, respectively,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the corresponding prior year periods, primarily due to the opening of our development projects: M Resort (December 1, 2025), Columbus (June 12, 2026), and Aurora (June 24, 2026). Additionally, depreciation and amortization for the nine months ended September 30, 2026 further increased due to the opening of Joliet (August 11, 2025).</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187960</wp:posOffset>
            </wp:positionV>
            <wp:extent cx="716026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60" w:firstLine="31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Impairment losses </w:t>
      </w:r>
      <w:r>
        <w:rPr>
          <w:rFonts w:ascii="Times New Roman" w:cs="Times New Roman" w:eastAsia="Times New Roman" w:hAnsi="Times New Roman"/>
          <w:sz w:val="18"/>
          <w:szCs w:val="18"/>
          <w:color w:val="auto"/>
        </w:rPr>
        <w:t>for the three and nine months ended September 30, 2026 relate to a non-cash impairment charge of $8.0 million at our BCNO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property on its trademark. As a result of the strategic decision to rebrand BCNO, the Company reassessed the indefinite-lived classification of the BCNO trademark and concluded the trademark is no longer considered to have an indefinite useful life. The Company performed a quantitative impairment test, then assigned the remaining carrying amount a finite useful life of approximately 36 months.</w:t>
      </w:r>
    </w:p>
    <w:p>
      <w:pPr>
        <w:spacing w:after="0" w:line="153" w:lineRule="exact"/>
        <w:rPr>
          <w:sz w:val="20"/>
          <w:szCs w:val="20"/>
          <w:color w:val="auto"/>
        </w:rPr>
      </w:pPr>
    </w:p>
    <w:p>
      <w:pPr>
        <w:jc w:val="both"/>
        <w:ind w:right="20" w:firstLine="319"/>
        <w:spacing w:after="0" w:line="253" w:lineRule="auto"/>
        <w:rPr>
          <w:sz w:val="20"/>
          <w:szCs w:val="20"/>
          <w:color w:val="auto"/>
        </w:rPr>
      </w:pPr>
      <w:r>
        <w:rPr>
          <w:rFonts w:ascii="Times New Roman" w:cs="Times New Roman" w:eastAsia="Times New Roman" w:hAnsi="Times New Roman"/>
          <w:sz w:val="18"/>
          <w:szCs w:val="18"/>
          <w:color w:val="auto"/>
        </w:rPr>
        <w:t xml:space="preserve">Impairment losses for the three months ended September 30, 2025 related to a non-cash impairment charge of $825.0 million at our Interactive segment on its goodwill. The impairment resulted from the Company’s realignment of its digital strategy following the mutual decision for an early termination of our Sportsbook Agreement with ESPN (as defined in </w:t>
      </w:r>
      <w:r>
        <w:rPr>
          <w:rFonts w:ascii="Times New Roman" w:cs="Times New Roman" w:eastAsia="Times New Roman" w:hAnsi="Times New Roman"/>
          <w:sz w:val="18"/>
          <w:szCs w:val="18"/>
          <w:u w:val="single" w:color="auto"/>
          <w:color w:val="0000FF"/>
        </w:rPr>
        <w:t>Note 2, “Significant Accounting Policies and Basis of Presentation”</w:t>
      </w:r>
      <w:r>
        <w:rPr>
          <w:rFonts w:ascii="Times New Roman" w:cs="Times New Roman" w:eastAsia="Times New Roman" w:hAnsi="Times New Roman"/>
          <w:sz w:val="18"/>
          <w:szCs w:val="18"/>
          <w:color w:val="auto"/>
        </w:rPr>
        <w:t xml:space="preserve"> to the unaudited Consolidated Financial Statements). The nine months ended September 30, 2025 also included a non-cash impairment charge of $15.0 million related to the Ameristar Council Bluffs trademark within the Midwest segment as a result of the strategic decision to rebrand the property.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(expenses)</w:t>
      </w:r>
    </w:p>
    <w:p>
      <w:pPr>
        <w:spacing w:after="0" w:line="1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our consolidated other income (expenses):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100" w:type="dxa"/>
            <w:vAlign w:val="bottom"/>
            <w:gridSpan w:val="6"/>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For the three months ended</w:t>
            </w:r>
          </w:p>
        </w:tc>
        <w:tc>
          <w:tcPr>
            <w:tcW w:w="260" w:type="dxa"/>
            <w:vAlign w:val="bottom"/>
          </w:tcPr>
          <w:p>
            <w:pPr>
              <w:spacing w:after="0"/>
              <w:rPr>
                <w:sz w:val="16"/>
                <w:szCs w:val="16"/>
                <w:color w:val="auto"/>
              </w:rPr>
            </w:pPr>
          </w:p>
        </w:tc>
        <w:tc>
          <w:tcPr>
            <w:tcW w:w="1140" w:type="dxa"/>
            <w:vAlign w:val="bottom"/>
            <w:gridSpan w:val="3"/>
            <w:vMerge w:val="restart"/>
          </w:tcPr>
          <w:p>
            <w:pPr>
              <w:ind w:left="5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6"/>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For the nine months ended</w:t>
            </w:r>
          </w:p>
        </w:tc>
        <w:tc>
          <w:tcPr>
            <w:tcW w:w="260" w:type="dxa"/>
            <w:vAlign w:val="bottom"/>
          </w:tcPr>
          <w:p>
            <w:pPr>
              <w:spacing w:after="0"/>
              <w:rPr>
                <w:sz w:val="16"/>
                <w:szCs w:val="16"/>
                <w:color w:val="auto"/>
              </w:rPr>
            </w:pPr>
          </w:p>
        </w:tc>
        <w:tc>
          <w:tcPr>
            <w:tcW w:w="1160" w:type="dxa"/>
            <w:vAlign w:val="bottom"/>
            <w:gridSpan w:val="3"/>
            <w:vMerge w:val="restart"/>
          </w:tcPr>
          <w:p>
            <w:pPr>
              <w:ind w:left="5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260" w:type="dxa"/>
            <w:vAlign w:val="bottom"/>
          </w:tcPr>
          <w:p>
            <w:pPr>
              <w:spacing w:after="0"/>
              <w:rPr>
                <w:sz w:val="18"/>
                <w:szCs w:val="18"/>
                <w:color w:val="auto"/>
              </w:rPr>
            </w:pPr>
          </w:p>
        </w:tc>
        <w:tc>
          <w:tcPr>
            <w:tcW w:w="1140" w:type="dxa"/>
            <w:vAlign w:val="bottom"/>
            <w:gridSpan w:val="3"/>
            <w:vMerge w:val="continue"/>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60" w:type="dxa"/>
            <w:vAlign w:val="bottom"/>
          </w:tcPr>
          <w:p>
            <w:pPr>
              <w:spacing w:after="0"/>
              <w:rPr>
                <w:sz w:val="18"/>
                <w:szCs w:val="18"/>
                <w:color w:val="auto"/>
              </w:rPr>
            </w:pPr>
          </w:p>
        </w:tc>
        <w:tc>
          <w:tcPr>
            <w:tcW w:w="1160" w:type="dxa"/>
            <w:vAlign w:val="bottom"/>
            <w:gridSpan w:val="3"/>
            <w:vMerge w:val="continue"/>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720" w:type="dxa"/>
            <w:vAlign w:val="bottom"/>
            <w:gridSpan w:val="3"/>
          </w:tcPr>
          <w:p>
            <w:pPr>
              <w:ind w:left="20"/>
              <w:spacing w:after="0" w:line="153"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240"/>
              <w:spacing w:after="0" w:line="153" w:lineRule="exact"/>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ind w:right="220"/>
              <w:spacing w:after="0" w:line="153" w:lineRule="exact"/>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34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38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240"/>
              <w:spacing w:after="0" w:line="153" w:lineRule="exact"/>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240"/>
              <w:spacing w:after="0" w:line="153"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ind w:right="36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38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 (expenses)</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7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(105.8)</w:t>
            </w:r>
          </w:p>
        </w:tc>
        <w:tc>
          <w:tcPr>
            <w:tcW w:w="100" w:type="dxa"/>
            <w:vAlign w:val="bottom"/>
          </w:tcPr>
          <w:p>
            <w:pPr>
              <w:spacing w:after="0"/>
              <w:rPr>
                <w:sz w:val="19"/>
                <w:szCs w:val="19"/>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w:t>
            </w:r>
          </w:p>
        </w:tc>
        <w:tc>
          <w:tcPr>
            <w:tcW w:w="120" w:type="dxa"/>
            <w:vAlign w:val="bottom"/>
          </w:tcPr>
          <w:p>
            <w:pPr>
              <w:spacing w:after="0"/>
              <w:rPr>
                <w:sz w:val="19"/>
                <w:szCs w:val="19"/>
                <w:color w:val="auto"/>
              </w:rPr>
            </w:pP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8.8 %</w:t>
            </w:r>
          </w:p>
        </w:tc>
        <w:tc>
          <w:tcPr>
            <w:tcW w:w="100" w:type="dxa"/>
            <w:vAlign w:val="bottom"/>
          </w:tcPr>
          <w:p>
            <w:pPr>
              <w:spacing w:after="0"/>
              <w:rPr>
                <w:sz w:val="19"/>
                <w:szCs w:val="19"/>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(307.7)</w:t>
            </w:r>
          </w:p>
        </w:tc>
        <w:tc>
          <w:tcPr>
            <w:tcW w:w="100" w:type="dxa"/>
            <w:vAlign w:val="bottom"/>
          </w:tcPr>
          <w:p>
            <w:pPr>
              <w:spacing w:after="0"/>
              <w:rPr>
                <w:sz w:val="19"/>
                <w:szCs w:val="19"/>
                <w:color w:val="auto"/>
              </w:rPr>
            </w:pP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(303.9)</w:t>
            </w:r>
          </w:p>
        </w:tc>
        <w:tc>
          <w:tcPr>
            <w:tcW w:w="100" w:type="dxa"/>
            <w:vAlign w:val="bottom"/>
          </w:tcPr>
          <w:p>
            <w:pPr>
              <w:spacing w:after="0"/>
              <w:rPr>
                <w:sz w:val="19"/>
                <w:szCs w:val="19"/>
                <w:color w:val="auto"/>
              </w:rPr>
            </w:pP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0" w:type="dxa"/>
            <w:vAlign w:val="bottom"/>
          </w:tcPr>
          <w:p>
            <w:pPr>
              <w:spacing w:after="0"/>
              <w:rPr>
                <w:sz w:val="1"/>
                <w:szCs w:val="1"/>
                <w:color w:val="auto"/>
              </w:rPr>
            </w:pPr>
          </w:p>
        </w:tc>
      </w:tr>
      <w:tr>
        <w:trPr>
          <w:trHeight w:val="228"/>
        </w:trPr>
        <w:tc>
          <w:tcPr>
            <w:tcW w:w="2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23"/>
        </w:trPr>
        <w:tc>
          <w:tcPr>
            <w:tcW w:w="27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Income from unconsolidated affiliates</w:t>
            </w: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Pr>
          <w:p>
            <w:pPr>
              <w:spacing w:after="0"/>
              <w:rPr>
                <w:sz w:val="19"/>
                <w:szCs w:val="19"/>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20" w:type="dxa"/>
            <w:vAlign w:val="bottom"/>
          </w:tcPr>
          <w:p>
            <w:pPr>
              <w:spacing w:after="0"/>
              <w:rPr>
                <w:sz w:val="19"/>
                <w:szCs w:val="19"/>
                <w:color w:val="auto"/>
              </w:rPr>
            </w:pP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13.4 %</w:t>
            </w:r>
          </w:p>
        </w:tc>
        <w:tc>
          <w:tcPr>
            <w:tcW w:w="100" w:type="dxa"/>
            <w:vAlign w:val="bottom"/>
          </w:tcPr>
          <w:p>
            <w:pPr>
              <w:spacing w:after="0"/>
              <w:rPr>
                <w:sz w:val="19"/>
                <w:szCs w:val="19"/>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100" w:type="dxa"/>
            <w:vAlign w:val="bottom"/>
          </w:tcPr>
          <w:p>
            <w:pPr>
              <w:spacing w:after="0"/>
              <w:rPr>
                <w:sz w:val="19"/>
                <w:szCs w:val="19"/>
                <w:color w:val="auto"/>
              </w:rPr>
            </w:pP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00" w:type="dxa"/>
            <w:vAlign w:val="bottom"/>
          </w:tcPr>
          <w:p>
            <w:pPr>
              <w:spacing w:after="0"/>
              <w:rPr>
                <w:sz w:val="19"/>
                <w:szCs w:val="19"/>
                <w:color w:val="auto"/>
              </w:rPr>
            </w:pP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28"/>
        </w:trPr>
        <w:tc>
          <w:tcPr>
            <w:tcW w:w="2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on financing arrangement</w:t>
            </w: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23"/>
        </w:trPr>
        <w:tc>
          <w:tcPr>
            <w:tcW w:w="27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Loss on early extinguishment of debt</w:t>
            </w: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3"/>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9"/>
                <w:szCs w:val="19"/>
                <w:color w:val="auto"/>
              </w:rPr>
            </w:pP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tcPr>
          <w:p>
            <w:pPr>
              <w:spacing w:after="0"/>
              <w:rPr>
                <w:sz w:val="19"/>
                <w:szCs w:val="19"/>
                <w:color w:val="auto"/>
              </w:rPr>
            </w:pP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(84.7)%</w:t>
            </w:r>
          </w:p>
        </w:tc>
        <w:tc>
          <w:tcPr>
            <w:tcW w:w="0" w:type="dxa"/>
            <w:vAlign w:val="bottom"/>
          </w:tcPr>
          <w:p>
            <w:pPr>
              <w:spacing w:after="0"/>
              <w:rPr>
                <w:sz w:val="1"/>
                <w:szCs w:val="1"/>
                <w:color w:val="auto"/>
              </w:rPr>
            </w:pPr>
          </w:p>
        </w:tc>
      </w:tr>
      <w:tr>
        <w:trPr>
          <w:trHeight w:val="228"/>
        </w:trPr>
        <w:tc>
          <w:tcPr>
            <w:tcW w:w="2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21"/>
        </w:trPr>
        <w:tc>
          <w:tcPr>
            <w:tcW w:w="27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9"/>
                <w:szCs w:val="19"/>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tcPr>
          <w:p>
            <w:pPr>
              <w:spacing w:after="0"/>
              <w:rPr>
                <w:sz w:val="19"/>
                <w:szCs w:val="19"/>
                <w:color w:val="auto"/>
              </w:rPr>
            </w:pP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w:t>
            </w:r>
          </w:p>
        </w:tc>
        <w:tc>
          <w:tcPr>
            <w:tcW w:w="100" w:type="dxa"/>
            <w:vAlign w:val="bottom"/>
          </w:tcPr>
          <w:p>
            <w:pPr>
              <w:spacing w:after="0"/>
              <w:rPr>
                <w:sz w:val="19"/>
                <w:szCs w:val="19"/>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tcPr>
          <w:p>
            <w:pPr>
              <w:spacing w:after="0"/>
              <w:rPr>
                <w:sz w:val="19"/>
                <w:szCs w:val="19"/>
                <w:color w:val="auto"/>
              </w:rPr>
            </w:pP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w:t>
            </w:r>
          </w:p>
        </w:tc>
        <w:tc>
          <w:tcPr>
            <w:tcW w:w="100" w:type="dxa"/>
            <w:vAlign w:val="bottom"/>
          </w:tcPr>
          <w:p>
            <w:pPr>
              <w:spacing w:after="0"/>
              <w:rPr>
                <w:sz w:val="19"/>
                <w:szCs w:val="19"/>
                <w:color w:val="auto"/>
              </w:rPr>
            </w:pP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w:t>
            </w: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185" w:lineRule="exact"/>
        <w:rPr>
          <w:sz w:val="20"/>
          <w:szCs w:val="20"/>
          <w:color w:val="auto"/>
        </w:rPr>
      </w:pPr>
    </w:p>
    <w:p>
      <w:pPr>
        <w:ind w:right="20" w:firstLine="319"/>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net </w:t>
      </w:r>
      <w:r>
        <w:rPr>
          <w:rFonts w:ascii="Times New Roman" w:cs="Times New Roman" w:eastAsia="Times New Roman" w:hAnsi="Times New Roman"/>
          <w:sz w:val="18"/>
          <w:szCs w:val="18"/>
          <w:color w:val="auto"/>
        </w:rPr>
        <w:t>increased by $8.6 million and $3.8 million for the three and nine months ended September 30, 2026, respectively, compared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corresponding prior year periods. The increases were primarily due to a reduction in capitalized interest upon completion of the recent development projects, as described above in the </w:t>
      </w:r>
      <w:r>
        <w:rPr>
          <w:rFonts w:ascii="Times New Roman" w:cs="Times New Roman" w:eastAsia="Times New Roman" w:hAnsi="Times New Roman"/>
          <w:sz w:val="18"/>
          <w:szCs w:val="18"/>
          <w:u w:val="single" w:color="auto"/>
          <w:color w:val="0000FF"/>
        </w:rPr>
        <w:t>“Executive Overview,”</w:t>
      </w:r>
      <w:r>
        <w:rPr>
          <w:rFonts w:ascii="Times New Roman" w:cs="Times New Roman" w:eastAsia="Times New Roman" w:hAnsi="Times New Roman"/>
          <w:sz w:val="18"/>
          <w:szCs w:val="18"/>
          <w:color w:val="auto"/>
        </w:rPr>
        <w:t xml:space="preserve"> and additional interest expense associated with the Company’s issuance of $600.0 million aggregate principal amount of 6.75% senior unsecured notes in the first quarter of 2026. The increases in both periods were partially offset by a 50-basis-point reduction in interest rates on our Amended Term Loan B Facility resulting from the Fourth Amendment Agreement to the Second Amended and Restated Credit Agreement. For the nine months ended September 30, 2026, the increase in interest expense, net was further offset by the first quarter of 2025 including interest expense related to the Company’s financing arrangement, which upon derecognition, resulted in the “Gain on financing arrangement” described below. See </w:t>
      </w:r>
      <w:r>
        <w:rPr>
          <w:rFonts w:ascii="Times New Roman" w:cs="Times New Roman" w:eastAsia="Times New Roman" w:hAnsi="Times New Roman"/>
          <w:sz w:val="18"/>
          <w:szCs w:val="18"/>
          <w:u w:val="single" w:color="auto"/>
          <w:color w:val="0000FF"/>
        </w:rPr>
        <w:t>Note 5, “Long-Term Debt”</w:t>
      </w:r>
      <w:r>
        <w:rPr>
          <w:rFonts w:ascii="Times New Roman" w:cs="Times New Roman" w:eastAsia="Times New Roman" w:hAnsi="Times New Roman"/>
          <w:sz w:val="18"/>
          <w:szCs w:val="18"/>
          <w:color w:val="auto"/>
        </w:rPr>
        <w:t xml:space="preserve"> to the unaudited Consolidated Financial Statements for additional details.</w:t>
      </w:r>
    </w:p>
    <w:p>
      <w:pPr>
        <w:spacing w:after="0" w:line="154" w:lineRule="exact"/>
        <w:rPr>
          <w:sz w:val="20"/>
          <w:szCs w:val="20"/>
          <w:color w:val="auto"/>
        </w:rPr>
      </w:pPr>
    </w:p>
    <w:p>
      <w:pPr>
        <w:ind w:firstLine="319"/>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income </w:t>
      </w:r>
      <w:r>
        <w:rPr>
          <w:rFonts w:ascii="Times New Roman" w:cs="Times New Roman" w:eastAsia="Times New Roman" w:hAnsi="Times New Roman"/>
          <w:sz w:val="18"/>
          <w:szCs w:val="18"/>
          <w:color w:val="auto"/>
        </w:rPr>
        <w:t>increased by $1.4 million for the three months ended September 30, 2026 compared to the corresponding prior year period, primarily due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the increase in cash and cash equivalents allowing us to increase the amount invested in money market funds, which we use for short term investing. Interest income for the nine months ended September 30, 2026 remained flat compared to the prior year period.</w:t>
      </w:r>
    </w:p>
    <w:p>
      <w:pPr>
        <w:spacing w:after="0" w:line="130" w:lineRule="exact"/>
        <w:rPr>
          <w:sz w:val="20"/>
          <w:szCs w:val="20"/>
          <w:color w:val="auto"/>
        </w:rPr>
      </w:pPr>
    </w:p>
    <w:p>
      <w:pPr>
        <w:ind w:right="140" w:firstLine="319"/>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from unconsolidated affiliates </w:t>
      </w:r>
      <w:r>
        <w:rPr>
          <w:rFonts w:ascii="Times New Roman" w:cs="Times New Roman" w:eastAsia="Times New Roman" w:hAnsi="Times New Roman"/>
          <w:sz w:val="18"/>
          <w:szCs w:val="18"/>
          <w:color w:val="auto"/>
        </w:rPr>
        <w:t>relates primarily to our investment in Kansas Entertainment joint venture. The change in income from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corresponding prior year period is due to fluctuations in earnings from our investments in these unconsolidated affiliates. Additionally, the prior year periods included our share of income from our Freehold Raceway joint venture.</w:t>
      </w:r>
    </w:p>
    <w:p>
      <w:pPr>
        <w:spacing w:after="0" w:line="1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Gain on financing arrangement </w:t>
      </w:r>
      <w:r>
        <w:rPr>
          <w:rFonts w:ascii="Times New Roman" w:cs="Times New Roman" w:eastAsia="Times New Roman" w:hAnsi="Times New Roman"/>
          <w:sz w:val="18"/>
          <w:szCs w:val="18"/>
          <w:color w:val="auto"/>
        </w:rPr>
        <w:t>relates to a $215.1 million non-cash gain on a financing arrangement during the three months ended March 31, 2025.</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5, “Long-Term Debt”</w:t>
      </w:r>
      <w:r>
        <w:rPr>
          <w:rFonts w:ascii="Times New Roman" w:cs="Times New Roman" w:eastAsia="Times New Roman" w:hAnsi="Times New Roman"/>
          <w:sz w:val="18"/>
          <w:szCs w:val="18"/>
          <w:color w:val="auto"/>
        </w:rPr>
        <w:t xml:space="preserve"> to the unaudited Consolidated Financial Statements for additional details.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187960</wp:posOffset>
            </wp:positionV>
            <wp:extent cx="716026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260" w:firstLine="31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Loss on early extinguishment of debt </w:t>
      </w:r>
      <w:r>
        <w:rPr>
          <w:rFonts w:ascii="Times New Roman" w:cs="Times New Roman" w:eastAsia="Times New Roman" w:hAnsi="Times New Roman"/>
          <w:sz w:val="18"/>
          <w:szCs w:val="18"/>
          <w:color w:val="auto"/>
        </w:rPr>
        <w:t>for the current period relates to the refinancing transactions of the Company’s Amended Credit Facilities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second quarter of 2026. The loss on early extinguishment of debt for the corresponding prior year period relates to the repurchase of the 2.75% convertible notes due 2026 (the “Convertible Notes”). For further discussion on the refinancing and repurchase transactions, see </w:t>
      </w:r>
      <w:r>
        <w:rPr>
          <w:rFonts w:ascii="Times New Roman" w:cs="Times New Roman" w:eastAsia="Times New Roman" w:hAnsi="Times New Roman"/>
          <w:sz w:val="18"/>
          <w:szCs w:val="18"/>
          <w:u w:val="single" w:color="auto"/>
          <w:color w:val="0000FF"/>
        </w:rPr>
        <w:t>Note 5, “Long-Term Debt”</w:t>
      </w:r>
      <w:r>
        <w:rPr>
          <w:rFonts w:ascii="Times New Roman" w:cs="Times New Roman" w:eastAsia="Times New Roman" w:hAnsi="Times New Roman"/>
          <w:sz w:val="18"/>
          <w:szCs w:val="18"/>
          <w:color w:val="auto"/>
        </w:rPr>
        <w:t xml:space="preserve"> to the unaudited Consolidated Financial Statements.</w:t>
      </w:r>
    </w:p>
    <w:p>
      <w:pPr>
        <w:spacing w:after="0" w:line="149" w:lineRule="exact"/>
        <w:rPr>
          <w:sz w:val="20"/>
          <w:szCs w:val="20"/>
          <w:color w:val="auto"/>
        </w:rPr>
      </w:pPr>
    </w:p>
    <w:p>
      <w:pPr>
        <w:jc w:val="both"/>
        <w:ind w:right="100" w:firstLine="319"/>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w:t>
      </w:r>
      <w:r>
        <w:rPr>
          <w:rFonts w:ascii="Times New Roman" w:cs="Times New Roman" w:eastAsia="Times New Roman" w:hAnsi="Times New Roman"/>
          <w:sz w:val="18"/>
          <w:szCs w:val="18"/>
          <w:color w:val="auto"/>
        </w:rPr>
        <w:t>primarily consisted of foreign currency revaluation for the three and nine months ended September 30, 2026. The corresponding prior year period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primarily consisted of realized and unrealized gains and losses on equity securities held by PENN Interactive, as well as miscellaneous income and expense items. The equity securities were sold during the second quarter of 2025.</w:t>
      </w:r>
    </w:p>
    <w:p>
      <w:pPr>
        <w:spacing w:after="0" w:line="130" w:lineRule="exact"/>
        <w:rPr>
          <w:sz w:val="20"/>
          <w:szCs w:val="20"/>
          <w:color w:val="auto"/>
        </w:rPr>
      </w:pPr>
    </w:p>
    <w:p>
      <w:pPr>
        <w:ind w:right="20" w:firstLine="31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expense </w:t>
      </w:r>
      <w:r>
        <w:rPr>
          <w:rFonts w:ascii="Times New Roman" w:cs="Times New Roman" w:eastAsia="Times New Roman" w:hAnsi="Times New Roman"/>
          <w:sz w:val="18"/>
          <w:szCs w:val="18"/>
          <w:color w:val="auto"/>
        </w:rPr>
        <w:t>was $1.7 million and $17.5 million for the three and nine months ended September 30, 2026, respectively, as compared to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 of $5.3 million and $59.4 million for the three and nine months ended September 30, 2025, respectively. The effective tax rate (income taxes as a percentage of income from operations before income taxes), including discrete items was 3.5% and 13.1% for the three and nine months ended September 30, 2026, respectively.</w:t>
      </w:r>
    </w:p>
    <w:p>
      <w:pPr>
        <w:spacing w:after="0" w:line="140" w:lineRule="exact"/>
        <w:rPr>
          <w:sz w:val="20"/>
          <w:szCs w:val="20"/>
          <w:color w:val="auto"/>
        </w:rPr>
      </w:pPr>
    </w:p>
    <w:p>
      <w:pPr>
        <w:ind w:right="40" w:firstLine="319"/>
        <w:spacing w:after="0" w:line="253" w:lineRule="auto"/>
        <w:rPr>
          <w:sz w:val="20"/>
          <w:szCs w:val="20"/>
          <w:color w:val="auto"/>
        </w:rPr>
      </w:pPr>
      <w:r>
        <w:rPr>
          <w:rFonts w:ascii="Times New Roman" w:cs="Times New Roman" w:eastAsia="Times New Roman" w:hAnsi="Times New Roman"/>
          <w:sz w:val="18"/>
          <w:szCs w:val="18"/>
          <w:color w:val="auto"/>
        </w:rPr>
        <w:t xml:space="preserve">We excluded certain foreign losses from our worldwide effective tax rate calculation due to a year-to-date ordinary loss for which no benefit may be recognized. The change in the effective tax rate for the three and nine months ended September 30, 2026, as compared to the corresponding prior periods was primarily due to: (i) excluding certain foreign losses for which no tax benefit can be recognized in our worldwide effective tax rate calculation; (ii) non-deductible permanent items; (iii) state taxes; and (iv) changes in uncertain tax positions. See </w:t>
      </w:r>
      <w:r>
        <w:rPr>
          <w:rFonts w:ascii="Times New Roman" w:cs="Times New Roman" w:eastAsia="Times New Roman" w:hAnsi="Times New Roman"/>
          <w:sz w:val="18"/>
          <w:szCs w:val="18"/>
          <w:u w:val="single" w:color="auto"/>
          <w:color w:val="0000FF"/>
        </w:rPr>
        <w:t>Note 8, “Income Taxes”</w:t>
      </w:r>
      <w:r>
        <w:rPr>
          <w:rFonts w:ascii="Times New Roman" w:cs="Times New Roman" w:eastAsia="Times New Roman" w:hAnsi="Times New Roman"/>
          <w:sz w:val="18"/>
          <w:szCs w:val="18"/>
          <w:color w:val="auto"/>
        </w:rPr>
        <w:t xml:space="preserve"> to the unaudited Consolidated Financial Statements for additional details.</w:t>
      </w:r>
    </w:p>
    <w:p>
      <w:pPr>
        <w:spacing w:after="0" w:line="157" w:lineRule="exact"/>
        <w:rPr>
          <w:sz w:val="20"/>
          <w:szCs w:val="20"/>
          <w:color w:val="auto"/>
        </w:rPr>
      </w:pPr>
    </w:p>
    <w:p>
      <w:pPr>
        <w:ind w:right="280" w:firstLine="319"/>
        <w:spacing w:after="0" w:line="260" w:lineRule="auto"/>
        <w:rPr>
          <w:sz w:val="20"/>
          <w:szCs w:val="20"/>
          <w:color w:val="auto"/>
        </w:rPr>
      </w:pPr>
      <w:r>
        <w:rPr>
          <w:rFonts w:ascii="Times New Roman" w:cs="Times New Roman" w:eastAsia="Times New Roman" w:hAnsi="Times New Roman"/>
          <w:sz w:val="18"/>
          <w:szCs w:val="18"/>
          <w:color w:val="auto"/>
        </w:rPr>
        <w:t>Our effective income tax rate may vary each reporting period depending on, among other factors, the geographic and business mix of our earnings, changes to our valuation allowances, and the level of our tax credits. These and other factors, including our history and projections of pre-tax earnings, are considered in assessing the realizability of our net deferred tax assets.</w:t>
      </w:r>
    </w:p>
    <w:p>
      <w:pPr>
        <w:spacing w:after="0" w:line="137" w:lineRule="exact"/>
        <w:rPr>
          <w:sz w:val="20"/>
          <w:szCs w:val="20"/>
          <w:color w:val="auto"/>
        </w:rPr>
      </w:pPr>
    </w:p>
    <w:p>
      <w:pPr>
        <w:ind w:firstLine="319"/>
        <w:spacing w:after="0" w:line="251" w:lineRule="auto"/>
        <w:rPr>
          <w:sz w:val="20"/>
          <w:szCs w:val="20"/>
          <w:color w:val="auto"/>
        </w:rPr>
      </w:pPr>
      <w:r>
        <w:rPr>
          <w:rFonts w:ascii="Times New Roman" w:cs="Times New Roman" w:eastAsia="Times New Roman" w:hAnsi="Times New Roman"/>
          <w:sz w:val="18"/>
          <w:szCs w:val="18"/>
          <w:color w:val="auto"/>
        </w:rPr>
        <w:t>On June 29, 2026, the Indiana Supreme Court ruled in the Company’s favor with respect to its Indiana wagering tax add-back position for the 2015 through 2017 tax years, reversing a prior decision of the Indiana Tax Court. As a result of the ruling, the Company recognized a discrete tax benefit during the second quarter of 2026 related to the 2015 through 2017 tax years. During the third quarter of 2026, the Company was notified by the Indiana Department of Revenue (“DOR”) that the 2018 through 2021 tax years will be reassessed consistent with the Supreme Court ruling. As a result, the Company reversed the previously recorded unrecognized tax benefits and corresponding accrued interest, which was recognized as a discrete tax benefit during the third quarter of 2026 related to the 2018 through 2021 tax years. The Company continues to maintain reserves associated with the remaining open tax years pending further resolution of these periods with the DOR.</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179705</wp:posOffset>
            </wp:positionV>
            <wp:extent cx="716026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Comparison of the Three and Nine Months Ended September 30, 2026 and 2025</w:t>
      </w:r>
    </w:p>
    <w:p>
      <w:pPr>
        <w:spacing w:after="0" w:line="1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Northeast Segment</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gridSpan w:val="5"/>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For the three months ended</w:t>
            </w:r>
          </w:p>
        </w:tc>
        <w:tc>
          <w:tcPr>
            <w:tcW w:w="260" w:type="dxa"/>
            <w:vAlign w:val="bottom"/>
          </w:tcPr>
          <w:p>
            <w:pPr>
              <w:spacing w:after="0"/>
              <w:rPr>
                <w:sz w:val="16"/>
                <w:szCs w:val="16"/>
                <w:color w:val="auto"/>
              </w:rPr>
            </w:pPr>
          </w:p>
        </w:tc>
        <w:tc>
          <w:tcPr>
            <w:tcW w:w="1060" w:type="dxa"/>
            <w:vAlign w:val="bottom"/>
            <w:gridSpan w:val="3"/>
            <w:vMerge w:val="restart"/>
          </w:tcPr>
          <w:p>
            <w:pPr>
              <w:ind w:left="4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8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260" w:type="dxa"/>
            <w:vAlign w:val="bottom"/>
          </w:tcPr>
          <w:p>
            <w:pPr>
              <w:spacing w:after="0"/>
              <w:rPr>
                <w:sz w:val="16"/>
                <w:szCs w:val="16"/>
                <w:color w:val="auto"/>
              </w:rPr>
            </w:pPr>
          </w:p>
        </w:tc>
        <w:tc>
          <w:tcPr>
            <w:tcW w:w="1080" w:type="dxa"/>
            <w:vAlign w:val="bottom"/>
            <w:gridSpan w:val="3"/>
            <w:vMerge w:val="restart"/>
          </w:tcPr>
          <w:p>
            <w:pPr>
              <w:ind w:left="4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60" w:type="dxa"/>
            <w:vAlign w:val="bottom"/>
          </w:tcPr>
          <w:p>
            <w:pPr>
              <w:spacing w:after="0"/>
              <w:rPr>
                <w:sz w:val="18"/>
                <w:szCs w:val="18"/>
                <w:color w:val="auto"/>
              </w:rPr>
            </w:pPr>
          </w:p>
        </w:tc>
        <w:tc>
          <w:tcPr>
            <w:tcW w:w="1060" w:type="dxa"/>
            <w:vAlign w:val="bottom"/>
            <w:gridSpan w:val="3"/>
            <w:vMerge w:val="continue"/>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8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260" w:type="dxa"/>
            <w:vAlign w:val="bottom"/>
          </w:tcPr>
          <w:p>
            <w:pPr>
              <w:spacing w:after="0"/>
              <w:rPr>
                <w:sz w:val="18"/>
                <w:szCs w:val="18"/>
                <w:color w:val="auto"/>
              </w:rPr>
            </w:pPr>
          </w:p>
        </w:tc>
        <w:tc>
          <w:tcPr>
            <w:tcW w:w="1080" w:type="dxa"/>
            <w:vAlign w:val="bottom"/>
            <w:gridSpan w:val="3"/>
            <w:vMerge w:val="continue"/>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540" w:type="dxa"/>
            <w:vAlign w:val="bottom"/>
            <w:gridSpan w:val="3"/>
          </w:tcPr>
          <w:p>
            <w:pPr>
              <w:ind w:left="20"/>
              <w:spacing w:after="0" w:line="153" w:lineRule="exact"/>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280"/>
              <w:spacing w:after="0" w:line="153" w:lineRule="exact"/>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280"/>
              <w:spacing w:after="0" w:line="153"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ind w:right="32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34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280"/>
              <w:spacing w:after="0" w:line="153" w:lineRule="exact"/>
              <w:rPr>
                <w:sz w:val="20"/>
                <w:szCs w:val="20"/>
                <w:color w:val="auto"/>
              </w:rPr>
            </w:pPr>
            <w:r>
              <w:rPr>
                <w:rFonts w:ascii="Times New Roman" w:cs="Times New Roman" w:eastAsia="Times New Roman" w:hAnsi="Times New Roman"/>
                <w:sz w:val="16"/>
                <w:szCs w:val="16"/>
                <w:b w:val="1"/>
                <w:bCs w:val="1"/>
                <w:color w:val="auto"/>
              </w:rPr>
              <w:t>2026</w:t>
            </w:r>
          </w:p>
        </w:tc>
        <w:tc>
          <w:tcPr>
            <w:tcW w:w="1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280"/>
              <w:spacing w:after="0" w:line="153"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ind w:right="32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34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1160" w:type="dxa"/>
            <w:vAlign w:val="bottom"/>
            <w:tcBorders>
              <w:top w:val="single" w:sz="8" w:color="auto"/>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5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Gaming</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629.5</w:t>
            </w:r>
          </w:p>
        </w:tc>
        <w:tc>
          <w:tcPr>
            <w:tcW w:w="100" w:type="dxa"/>
            <w:vAlign w:val="bottom"/>
          </w:tcPr>
          <w:p>
            <w:pPr>
              <w:spacing w:after="0"/>
              <w:rPr>
                <w:sz w:val="19"/>
                <w:szCs w:val="19"/>
                <w:color w:val="auto"/>
              </w:rPr>
            </w:pPr>
          </w:p>
        </w:tc>
        <w:tc>
          <w:tcPr>
            <w:tcW w:w="2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617.2</w:t>
            </w:r>
          </w:p>
        </w:tc>
        <w:tc>
          <w:tcPr>
            <w:tcW w:w="100" w:type="dxa"/>
            <w:vAlign w:val="bottom"/>
          </w:tcPr>
          <w:p>
            <w:pPr>
              <w:spacing w:after="0"/>
              <w:rPr>
                <w:sz w:val="19"/>
                <w:szCs w:val="19"/>
                <w:color w:val="auto"/>
              </w:rPr>
            </w:pP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1,899.7</w:t>
            </w:r>
          </w:p>
        </w:tc>
        <w:tc>
          <w:tcPr>
            <w:tcW w:w="160" w:type="dxa"/>
            <w:vAlign w:val="bottom"/>
          </w:tcPr>
          <w:p>
            <w:pPr>
              <w:spacing w:after="0"/>
              <w:rPr>
                <w:sz w:val="19"/>
                <w:szCs w:val="19"/>
                <w:color w:val="auto"/>
              </w:rPr>
            </w:pP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1,863.5</w:t>
            </w:r>
          </w:p>
        </w:tc>
        <w:tc>
          <w:tcPr>
            <w:tcW w:w="100" w:type="dxa"/>
            <w:vAlign w:val="bottom"/>
          </w:tcPr>
          <w:p>
            <w:pPr>
              <w:spacing w:after="0"/>
              <w:rPr>
                <w:sz w:val="19"/>
                <w:szCs w:val="19"/>
                <w:color w:val="auto"/>
              </w:rPr>
            </w:pP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2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Food, beverage, hotel, and other</w:t>
            </w: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78.8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73.3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7.5 %</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227.3</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219.5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Total revenues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708.3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690.5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2.6 %</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2,127.0</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2,083.0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Adjusted EBITDAR</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208.1</w:t>
            </w:r>
          </w:p>
        </w:tc>
        <w:tc>
          <w:tcPr>
            <w:tcW w:w="100" w:type="dxa"/>
            <w:vAlign w:val="bottom"/>
          </w:tcPr>
          <w:p>
            <w:pPr>
              <w:spacing w:after="0"/>
              <w:rPr>
                <w:sz w:val="19"/>
                <w:szCs w:val="19"/>
                <w:color w:val="auto"/>
              </w:rPr>
            </w:pPr>
          </w:p>
        </w:tc>
        <w:tc>
          <w:tcPr>
            <w:tcW w:w="2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197.9</w:t>
            </w:r>
          </w:p>
        </w:tc>
        <w:tc>
          <w:tcPr>
            <w:tcW w:w="100" w:type="dxa"/>
            <w:vAlign w:val="bottom"/>
          </w:tcPr>
          <w:p>
            <w:pPr>
              <w:spacing w:after="0"/>
              <w:rPr>
                <w:sz w:val="19"/>
                <w:szCs w:val="19"/>
                <w:color w:val="auto"/>
              </w:rPr>
            </w:pP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622.8</w:t>
            </w:r>
          </w:p>
        </w:tc>
        <w:tc>
          <w:tcPr>
            <w:tcW w:w="160" w:type="dxa"/>
            <w:vAlign w:val="bottom"/>
          </w:tcPr>
          <w:p>
            <w:pPr>
              <w:spacing w:after="0"/>
              <w:rPr>
                <w:sz w:val="19"/>
                <w:szCs w:val="19"/>
                <w:color w:val="auto"/>
              </w:rPr>
            </w:pP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601.6</w:t>
            </w:r>
          </w:p>
        </w:tc>
        <w:tc>
          <w:tcPr>
            <w:tcW w:w="100" w:type="dxa"/>
            <w:vAlign w:val="bottom"/>
          </w:tcPr>
          <w:p>
            <w:pPr>
              <w:spacing w:after="0"/>
              <w:rPr>
                <w:sz w:val="19"/>
                <w:szCs w:val="19"/>
                <w:color w:val="auto"/>
              </w:rPr>
            </w:pP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0" w:type="dxa"/>
            <w:vAlign w:val="bottom"/>
          </w:tcPr>
          <w:p>
            <w:pPr>
              <w:spacing w:after="0"/>
              <w:rPr>
                <w:sz w:val="1"/>
                <w:szCs w:val="1"/>
                <w:color w:val="auto"/>
              </w:rPr>
            </w:pPr>
          </w:p>
        </w:tc>
      </w:tr>
      <w:tr>
        <w:trPr>
          <w:trHeight w:val="228"/>
        </w:trPr>
        <w:tc>
          <w:tcPr>
            <w:tcW w:w="25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EBITDAR margin</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70 bps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29.3 %</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 bps</w:t>
            </w:r>
          </w:p>
        </w:tc>
        <w:tc>
          <w:tcPr>
            <w:tcW w:w="0" w:type="dxa"/>
            <w:vAlign w:val="bottom"/>
          </w:tcPr>
          <w:p>
            <w:pPr>
              <w:spacing w:after="0"/>
              <w:rPr>
                <w:sz w:val="1"/>
                <w:szCs w:val="1"/>
                <w:color w:val="auto"/>
              </w:rPr>
            </w:pPr>
          </w:p>
        </w:tc>
      </w:tr>
    </w:tbl>
    <w:p>
      <w:pPr>
        <w:spacing w:after="0" w:line="247" w:lineRule="exact"/>
        <w:rPr>
          <w:sz w:val="20"/>
          <w:szCs w:val="20"/>
          <w:color w:val="auto"/>
        </w:rPr>
      </w:pPr>
    </w:p>
    <w:p>
      <w:pPr>
        <w:ind w:right="220" w:firstLine="319"/>
        <w:spacing w:after="0" w:line="260" w:lineRule="auto"/>
        <w:rPr>
          <w:sz w:val="20"/>
          <w:szCs w:val="20"/>
          <w:color w:val="auto"/>
        </w:rPr>
      </w:pPr>
      <w:r>
        <w:rPr>
          <w:rFonts w:ascii="Times New Roman" w:cs="Times New Roman" w:eastAsia="Times New Roman" w:hAnsi="Times New Roman"/>
          <w:sz w:val="18"/>
          <w:szCs w:val="18"/>
          <w:color w:val="auto"/>
        </w:rPr>
        <w:t>The Northeast segment’s revenues for the three and nine months ended September 30, 2026 increased by $17.8 million and $44.0 million, respectively, compared to the corresponding prior year periods, primarily due to increases in gaming revenues, particularly slots revenues, as well as increases in hotel revenue. The current year periods benefited from the opening of the new hotel tower at Columbus on June 12, 2026.</w:t>
      </w:r>
    </w:p>
    <w:p>
      <w:pPr>
        <w:spacing w:after="0" w:line="151" w:lineRule="exact"/>
        <w:rPr>
          <w:sz w:val="20"/>
          <w:szCs w:val="20"/>
          <w:color w:val="auto"/>
        </w:rPr>
      </w:pPr>
    </w:p>
    <w:p>
      <w:pPr>
        <w:ind w:right="520" w:firstLine="319"/>
        <w:spacing w:after="0" w:line="305" w:lineRule="auto"/>
        <w:rPr>
          <w:sz w:val="20"/>
          <w:szCs w:val="20"/>
          <w:color w:val="auto"/>
        </w:rPr>
      </w:pPr>
      <w:r>
        <w:rPr>
          <w:rFonts w:ascii="Times New Roman" w:cs="Times New Roman" w:eastAsia="Times New Roman" w:hAnsi="Times New Roman"/>
          <w:sz w:val="17"/>
          <w:szCs w:val="17"/>
          <w:color w:val="auto"/>
        </w:rPr>
        <w:t>For the three and nine months ended September 30, 2026, the Northeast segment’s Adjusted EBITDAR increased $10.2 million and $21.2 million, respectively, and Adjusted EBITDAR margin increased to 29.4% and 29.3%, respectively, primarily due to increases in revenues discussed above.</w:t>
      </w:r>
    </w:p>
    <w:p>
      <w:pPr>
        <w:spacing w:after="0" w:line="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South Segment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For the three months ended</w:t>
            </w:r>
          </w:p>
        </w:tc>
        <w:tc>
          <w:tcPr>
            <w:tcW w:w="240" w:type="dxa"/>
            <w:vAlign w:val="bottom"/>
          </w:tcPr>
          <w:p>
            <w:pPr>
              <w:spacing w:after="0"/>
              <w:rPr>
                <w:sz w:val="16"/>
                <w:szCs w:val="16"/>
                <w:color w:val="auto"/>
              </w:rPr>
            </w:pPr>
          </w:p>
        </w:tc>
        <w:tc>
          <w:tcPr>
            <w:tcW w:w="1080" w:type="dxa"/>
            <w:vAlign w:val="bottom"/>
            <w:gridSpan w:val="3"/>
            <w:vMerge w:val="restart"/>
          </w:tcPr>
          <w:p>
            <w:pPr>
              <w:ind w:left="4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6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260" w:type="dxa"/>
            <w:vAlign w:val="bottom"/>
          </w:tcPr>
          <w:p>
            <w:pPr>
              <w:spacing w:after="0"/>
              <w:rPr>
                <w:sz w:val="16"/>
                <w:szCs w:val="16"/>
                <w:color w:val="auto"/>
              </w:rPr>
            </w:pPr>
          </w:p>
        </w:tc>
        <w:tc>
          <w:tcPr>
            <w:tcW w:w="1100" w:type="dxa"/>
            <w:vAlign w:val="bottom"/>
            <w:gridSpan w:val="3"/>
            <w:vMerge w:val="restart"/>
          </w:tcPr>
          <w:p>
            <w:pPr>
              <w:ind w:left="5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40" w:type="dxa"/>
            <w:vAlign w:val="bottom"/>
          </w:tcPr>
          <w:p>
            <w:pPr>
              <w:spacing w:after="0"/>
              <w:rPr>
                <w:sz w:val="18"/>
                <w:szCs w:val="18"/>
                <w:color w:val="auto"/>
              </w:rPr>
            </w:pPr>
          </w:p>
        </w:tc>
        <w:tc>
          <w:tcPr>
            <w:tcW w:w="1080" w:type="dxa"/>
            <w:vAlign w:val="bottom"/>
            <w:gridSpan w:val="3"/>
            <w:vMerge w:val="continue"/>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gridSpan w:val="5"/>
          </w:tcPr>
          <w:p>
            <w:pPr>
              <w:ind w:left="4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60" w:type="dxa"/>
            <w:vAlign w:val="bottom"/>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540" w:type="dxa"/>
            <w:vAlign w:val="bottom"/>
            <w:gridSpan w:val="3"/>
          </w:tcPr>
          <w:p>
            <w:pPr>
              <w:ind w:left="20"/>
              <w:spacing w:after="0" w:line="153" w:lineRule="exact"/>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280"/>
              <w:spacing w:after="0" w:line="153" w:lineRule="exact"/>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260"/>
              <w:spacing w:after="0" w:line="153" w:lineRule="exact"/>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ind w:right="32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34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ind w:left="220"/>
              <w:spacing w:after="0" w:line="153" w:lineRule="exact"/>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ind w:left="140"/>
              <w:spacing w:after="0" w:line="153"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ind w:right="34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34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1160" w:type="dxa"/>
            <w:vAlign w:val="bottom"/>
            <w:tcBorders>
              <w:top w:val="single" w:sz="8" w:color="auto"/>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5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Gaming</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216.0</w:t>
            </w:r>
          </w:p>
        </w:tc>
        <w:tc>
          <w:tcPr>
            <w:tcW w:w="100" w:type="dxa"/>
            <w:vAlign w:val="bottom"/>
          </w:tcPr>
          <w:p>
            <w:pPr>
              <w:spacing w:after="0"/>
              <w:rPr>
                <w:sz w:val="19"/>
                <w:szCs w:val="19"/>
                <w:color w:val="auto"/>
              </w:rPr>
            </w:pP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215.2</w:t>
            </w:r>
          </w:p>
        </w:tc>
        <w:tc>
          <w:tcPr>
            <w:tcW w:w="120" w:type="dxa"/>
            <w:vAlign w:val="bottom"/>
          </w:tcPr>
          <w:p>
            <w:pPr>
              <w:spacing w:after="0"/>
              <w:rPr>
                <w:sz w:val="19"/>
                <w:szCs w:val="19"/>
                <w:color w:val="auto"/>
              </w:rPr>
            </w:pPr>
          </w:p>
        </w:tc>
        <w:tc>
          <w:tcPr>
            <w:tcW w:w="2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653.7</w:t>
            </w:r>
          </w:p>
        </w:tc>
        <w:tc>
          <w:tcPr>
            <w:tcW w:w="100" w:type="dxa"/>
            <w:vAlign w:val="bottom"/>
          </w:tcPr>
          <w:p>
            <w:pPr>
              <w:spacing w:after="0"/>
              <w:rPr>
                <w:sz w:val="19"/>
                <w:szCs w:val="19"/>
                <w:color w:val="auto"/>
              </w:rPr>
            </w:pPr>
          </w:p>
        </w:tc>
        <w:tc>
          <w:tcPr>
            <w:tcW w:w="2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660.8</w:t>
            </w:r>
          </w:p>
        </w:tc>
        <w:tc>
          <w:tcPr>
            <w:tcW w:w="100" w:type="dxa"/>
            <w:vAlign w:val="bottom"/>
          </w:tcPr>
          <w:p>
            <w:pPr>
              <w:spacing w:after="0"/>
              <w:rPr>
                <w:sz w:val="19"/>
                <w:szCs w:val="19"/>
                <w:color w:val="auto"/>
              </w:rPr>
            </w:pP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2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Food, beverage, hotel, and other</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75.8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221.2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220.7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Total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291.8</w:t>
            </w:r>
          </w:p>
        </w:tc>
        <w:tc>
          <w:tcPr>
            <w:tcW w:w="1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291.0</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874.9</w:t>
            </w:r>
          </w:p>
        </w:tc>
        <w:tc>
          <w:tcPr>
            <w:tcW w:w="1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881.5</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Adjusted EBITDAR</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108.3</w:t>
            </w:r>
          </w:p>
        </w:tc>
        <w:tc>
          <w:tcPr>
            <w:tcW w:w="100" w:type="dxa"/>
            <w:vAlign w:val="bottom"/>
          </w:tcPr>
          <w:p>
            <w:pPr>
              <w:spacing w:after="0"/>
              <w:rPr>
                <w:sz w:val="19"/>
                <w:szCs w:val="19"/>
                <w:color w:val="auto"/>
              </w:rPr>
            </w:pP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97.7</w:t>
            </w:r>
          </w:p>
        </w:tc>
        <w:tc>
          <w:tcPr>
            <w:tcW w:w="120" w:type="dxa"/>
            <w:vAlign w:val="bottom"/>
          </w:tcPr>
          <w:p>
            <w:pPr>
              <w:spacing w:after="0"/>
              <w:rPr>
                <w:sz w:val="19"/>
                <w:szCs w:val="19"/>
                <w:color w:val="auto"/>
              </w:rPr>
            </w:pPr>
          </w:p>
        </w:tc>
        <w:tc>
          <w:tcPr>
            <w:tcW w:w="2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321.5</w:t>
            </w:r>
          </w:p>
        </w:tc>
        <w:tc>
          <w:tcPr>
            <w:tcW w:w="100" w:type="dxa"/>
            <w:vAlign w:val="bottom"/>
          </w:tcPr>
          <w:p>
            <w:pPr>
              <w:spacing w:after="0"/>
              <w:rPr>
                <w:sz w:val="19"/>
                <w:szCs w:val="19"/>
                <w:color w:val="auto"/>
              </w:rPr>
            </w:pPr>
          </w:p>
        </w:tc>
        <w:tc>
          <w:tcPr>
            <w:tcW w:w="2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305.8</w:t>
            </w:r>
          </w:p>
        </w:tc>
        <w:tc>
          <w:tcPr>
            <w:tcW w:w="100" w:type="dxa"/>
            <w:vAlign w:val="bottom"/>
          </w:tcPr>
          <w:p>
            <w:pPr>
              <w:spacing w:after="0"/>
              <w:rPr>
                <w:sz w:val="19"/>
                <w:szCs w:val="19"/>
                <w:color w:val="auto"/>
              </w:rPr>
            </w:pP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5.1 %</w:t>
            </w:r>
          </w:p>
        </w:tc>
        <w:tc>
          <w:tcPr>
            <w:tcW w:w="0" w:type="dxa"/>
            <w:vAlign w:val="bottom"/>
          </w:tcPr>
          <w:p>
            <w:pPr>
              <w:spacing w:after="0"/>
              <w:rPr>
                <w:sz w:val="1"/>
                <w:szCs w:val="1"/>
                <w:color w:val="auto"/>
              </w:rPr>
            </w:pPr>
          </w:p>
        </w:tc>
      </w:tr>
      <w:tr>
        <w:trPr>
          <w:trHeight w:val="228"/>
        </w:trPr>
        <w:tc>
          <w:tcPr>
            <w:tcW w:w="25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EBITDAR margin</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350 bps</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36.7 %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34.7 %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 bps</w:t>
            </w:r>
          </w:p>
        </w:tc>
        <w:tc>
          <w:tcPr>
            <w:tcW w:w="0" w:type="dxa"/>
            <w:vAlign w:val="bottom"/>
          </w:tcPr>
          <w:p>
            <w:pPr>
              <w:spacing w:after="0"/>
              <w:rPr>
                <w:sz w:val="1"/>
                <w:szCs w:val="1"/>
                <w:color w:val="auto"/>
              </w:rPr>
            </w:pPr>
          </w:p>
        </w:tc>
      </w:tr>
    </w:tbl>
    <w:p>
      <w:pPr>
        <w:spacing w:after="0" w:line="247" w:lineRule="exact"/>
        <w:rPr>
          <w:sz w:val="20"/>
          <w:szCs w:val="20"/>
          <w:color w:val="auto"/>
        </w:rPr>
      </w:pPr>
    </w:p>
    <w:p>
      <w:pPr>
        <w:ind w:right="300" w:firstLine="319"/>
        <w:spacing w:after="0" w:line="275" w:lineRule="auto"/>
        <w:rPr>
          <w:sz w:val="20"/>
          <w:szCs w:val="20"/>
          <w:color w:val="auto"/>
        </w:rPr>
      </w:pPr>
      <w:r>
        <w:rPr>
          <w:rFonts w:ascii="Times New Roman" w:cs="Times New Roman" w:eastAsia="Times New Roman" w:hAnsi="Times New Roman"/>
          <w:sz w:val="18"/>
          <w:szCs w:val="18"/>
          <w:color w:val="auto"/>
        </w:rPr>
        <w:t>The South segment’s revenues for the three months ended September 30, 2026 increased by $0.8 million, compared to the prior year period, due to an increase in gaming revenues.</w:t>
      </w:r>
    </w:p>
    <w:p>
      <w:pPr>
        <w:spacing w:after="0" w:line="123" w:lineRule="exact"/>
        <w:rPr>
          <w:sz w:val="20"/>
          <w:szCs w:val="20"/>
          <w:color w:val="auto"/>
        </w:rPr>
      </w:pPr>
    </w:p>
    <w:p>
      <w:pPr>
        <w:ind w:right="20" w:firstLine="319"/>
        <w:spacing w:after="0" w:line="260" w:lineRule="auto"/>
        <w:rPr>
          <w:sz w:val="20"/>
          <w:szCs w:val="20"/>
          <w:color w:val="auto"/>
        </w:rPr>
      </w:pPr>
      <w:r>
        <w:rPr>
          <w:rFonts w:ascii="Times New Roman" w:cs="Times New Roman" w:eastAsia="Times New Roman" w:hAnsi="Times New Roman"/>
          <w:sz w:val="18"/>
          <w:szCs w:val="18"/>
          <w:color w:val="auto"/>
        </w:rPr>
        <w:t>The South segment’s revenues for the nine months ended September 30, 2026 decreased by $6.6 million, compared to the prior year period, primarily due to a decrease in gaming revenues as increased competition and severe weather events negatively affected several of our properties during the first quarter of 2026, partially offset by an increase in food and beverage revenues.</w:t>
      </w:r>
    </w:p>
    <w:p>
      <w:pPr>
        <w:spacing w:after="0" w:line="137" w:lineRule="exact"/>
        <w:rPr>
          <w:sz w:val="20"/>
          <w:szCs w:val="20"/>
          <w:color w:val="auto"/>
        </w:rPr>
      </w:pPr>
    </w:p>
    <w:p>
      <w:pPr>
        <w:ind w:right="140" w:firstLine="319"/>
        <w:spacing w:after="0" w:line="255" w:lineRule="auto"/>
        <w:rPr>
          <w:sz w:val="20"/>
          <w:szCs w:val="20"/>
          <w:color w:val="auto"/>
        </w:rPr>
      </w:pPr>
      <w:r>
        <w:rPr>
          <w:rFonts w:ascii="Times New Roman" w:cs="Times New Roman" w:eastAsia="Times New Roman" w:hAnsi="Times New Roman"/>
          <w:sz w:val="18"/>
          <w:szCs w:val="18"/>
          <w:color w:val="auto"/>
        </w:rPr>
        <w:t>For the three and nine months ended September 30, 2026, the South segment’s Adjusted EBITDAR increased by $10.6 million and $15.7 million, respectively, and Adjusted EBITDAR margin increased to 37.1% and 36.7%, respectively, primarily due to decreases in general and administrative expenses and labor costs. For the nine months ended September 30, 2026, Adjusted EBITDAR and Adjusted EBITDAR margin further increased due to a one-time favorable adjustment related to a legal accrual in the first quarter of 2026.</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187960</wp:posOffset>
            </wp:positionV>
            <wp:extent cx="716026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West Segment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For the three months ended</w:t>
            </w:r>
          </w:p>
        </w:tc>
        <w:tc>
          <w:tcPr>
            <w:tcW w:w="240" w:type="dxa"/>
            <w:vAlign w:val="bottom"/>
          </w:tcPr>
          <w:p>
            <w:pPr>
              <w:spacing w:after="0"/>
              <w:rPr>
                <w:sz w:val="16"/>
                <w:szCs w:val="16"/>
                <w:color w:val="auto"/>
              </w:rPr>
            </w:pPr>
          </w:p>
        </w:tc>
        <w:tc>
          <w:tcPr>
            <w:tcW w:w="1060" w:type="dxa"/>
            <w:vAlign w:val="bottom"/>
            <w:gridSpan w:val="3"/>
            <w:vMerge w:val="restart"/>
          </w:tcPr>
          <w:p>
            <w:pPr>
              <w:ind w:left="4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6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260" w:type="dxa"/>
            <w:vAlign w:val="bottom"/>
          </w:tcPr>
          <w:p>
            <w:pPr>
              <w:spacing w:after="0"/>
              <w:rPr>
                <w:sz w:val="16"/>
                <w:szCs w:val="16"/>
                <w:color w:val="auto"/>
              </w:rPr>
            </w:pPr>
          </w:p>
        </w:tc>
        <w:tc>
          <w:tcPr>
            <w:tcW w:w="1080" w:type="dxa"/>
            <w:vAlign w:val="bottom"/>
            <w:gridSpan w:val="3"/>
            <w:vMerge w:val="restart"/>
          </w:tcPr>
          <w:p>
            <w:pPr>
              <w:ind w:left="5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40" w:type="dxa"/>
            <w:vAlign w:val="bottom"/>
          </w:tcPr>
          <w:p>
            <w:pPr>
              <w:spacing w:after="0"/>
              <w:rPr>
                <w:sz w:val="18"/>
                <w:szCs w:val="18"/>
                <w:color w:val="auto"/>
              </w:rPr>
            </w:pPr>
          </w:p>
        </w:tc>
        <w:tc>
          <w:tcPr>
            <w:tcW w:w="1060" w:type="dxa"/>
            <w:vAlign w:val="bottom"/>
            <w:gridSpan w:val="3"/>
            <w:vMerge w:val="continue"/>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gridSpan w:val="5"/>
          </w:tcPr>
          <w:p>
            <w:pPr>
              <w:ind w:left="4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60" w:type="dxa"/>
            <w:vAlign w:val="bottom"/>
          </w:tcPr>
          <w:p>
            <w:pPr>
              <w:spacing w:after="0"/>
              <w:rPr>
                <w:sz w:val="18"/>
                <w:szCs w:val="18"/>
                <w:color w:val="auto"/>
              </w:rPr>
            </w:pPr>
          </w:p>
        </w:tc>
        <w:tc>
          <w:tcPr>
            <w:tcW w:w="1080" w:type="dxa"/>
            <w:vAlign w:val="bottom"/>
            <w:gridSpan w:val="3"/>
            <w:vMerge w:val="continue"/>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540" w:type="dxa"/>
            <w:vAlign w:val="bottom"/>
            <w:gridSpan w:val="3"/>
          </w:tcPr>
          <w:p>
            <w:pPr>
              <w:ind w:left="20"/>
              <w:spacing w:after="0" w:line="153" w:lineRule="exact"/>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260"/>
              <w:spacing w:after="0" w:line="153" w:lineRule="exact"/>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280"/>
              <w:spacing w:after="0" w:line="153" w:lineRule="exact"/>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ind w:right="32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ind w:right="34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ind w:left="220"/>
              <w:spacing w:after="0" w:line="153" w:lineRule="exact"/>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ind w:left="140"/>
              <w:spacing w:after="0" w:line="153"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ind w:right="34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ind w:right="34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1160" w:type="dxa"/>
            <w:vAlign w:val="bottom"/>
            <w:tcBorders>
              <w:top w:val="single" w:sz="8" w:color="auto"/>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5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Gaming</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99.4</w:t>
            </w:r>
          </w:p>
        </w:tc>
        <w:tc>
          <w:tcPr>
            <w:tcW w:w="120" w:type="dxa"/>
            <w:vAlign w:val="bottom"/>
          </w:tcPr>
          <w:p>
            <w:pPr>
              <w:spacing w:after="0"/>
              <w:rPr>
                <w:sz w:val="19"/>
                <w:szCs w:val="19"/>
                <w:color w:val="auto"/>
              </w:rPr>
            </w:pP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98.4</w:t>
            </w:r>
          </w:p>
        </w:tc>
        <w:tc>
          <w:tcPr>
            <w:tcW w:w="120" w:type="dxa"/>
            <w:vAlign w:val="bottom"/>
          </w:tcPr>
          <w:p>
            <w:pPr>
              <w:spacing w:after="0"/>
              <w:rPr>
                <w:sz w:val="19"/>
                <w:szCs w:val="19"/>
                <w:color w:val="auto"/>
              </w:rPr>
            </w:pPr>
          </w:p>
        </w:tc>
        <w:tc>
          <w:tcPr>
            <w:tcW w:w="2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center"/>
              <w:ind w:left="200"/>
              <w:spacing w:after="0"/>
              <w:rPr>
                <w:sz w:val="20"/>
                <w:szCs w:val="20"/>
                <w:color w:val="auto"/>
              </w:rPr>
            </w:pPr>
            <w:r>
              <w:rPr>
                <w:rFonts w:ascii="Times New Roman" w:cs="Times New Roman" w:eastAsia="Times New Roman" w:hAnsi="Times New Roman"/>
                <w:sz w:val="16"/>
                <w:szCs w:val="16"/>
                <w:color w:val="auto"/>
                <w:w w:val="99"/>
              </w:rPr>
              <w:t>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299.7</w:t>
            </w:r>
          </w:p>
        </w:tc>
        <w:tc>
          <w:tcPr>
            <w:tcW w:w="100" w:type="dxa"/>
            <w:vAlign w:val="bottom"/>
          </w:tcPr>
          <w:p>
            <w:pPr>
              <w:spacing w:after="0"/>
              <w:rPr>
                <w:sz w:val="19"/>
                <w:szCs w:val="19"/>
                <w:color w:val="auto"/>
              </w:rPr>
            </w:pPr>
          </w:p>
        </w:tc>
        <w:tc>
          <w:tcPr>
            <w:tcW w:w="2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287.2</w:t>
            </w:r>
          </w:p>
        </w:tc>
        <w:tc>
          <w:tcPr>
            <w:tcW w:w="100" w:type="dxa"/>
            <w:vAlign w:val="bottom"/>
          </w:tcPr>
          <w:p>
            <w:pPr>
              <w:spacing w:after="0"/>
              <w:rPr>
                <w:sz w:val="19"/>
                <w:szCs w:val="19"/>
                <w:color w:val="auto"/>
              </w:rPr>
            </w:pP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2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Food, beverage, hotel, and other</w:t>
            </w: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48.1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39.9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center"/>
              <w:ind w:left="200"/>
              <w:spacing w:after="0"/>
              <w:rPr>
                <w:sz w:val="20"/>
                <w:szCs w:val="20"/>
                <w:color w:val="auto"/>
              </w:rPr>
            </w:pPr>
            <w:r>
              <w:rPr>
                <w:rFonts w:ascii="Times New Roman" w:cs="Times New Roman" w:eastAsia="Times New Roman" w:hAnsi="Times New Roman"/>
                <w:sz w:val="16"/>
                <w:szCs w:val="16"/>
                <w:color w:val="auto"/>
                <w:w w:val="99"/>
              </w:rPr>
              <w:t>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20.6 %</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145.2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118.5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22.5 %</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Total revenues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147.5</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138.3</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center"/>
              <w:ind w:left="200"/>
              <w:spacing w:after="0"/>
              <w:rPr>
                <w:sz w:val="20"/>
                <w:szCs w:val="20"/>
                <w:color w:val="auto"/>
              </w:rPr>
            </w:pPr>
            <w:r>
              <w:rPr>
                <w:rFonts w:ascii="Times New Roman" w:cs="Times New Roman" w:eastAsia="Times New Roman" w:hAnsi="Times New Roman"/>
                <w:sz w:val="16"/>
                <w:szCs w:val="16"/>
                <w:color w:val="auto"/>
                <w:w w:val="99"/>
              </w:rPr>
              <w:t>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6.7 %</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444.9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405.7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9.7 %</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Adjusted EBITDAR</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50.9</w:t>
            </w:r>
          </w:p>
        </w:tc>
        <w:tc>
          <w:tcPr>
            <w:tcW w:w="120" w:type="dxa"/>
            <w:vAlign w:val="bottom"/>
          </w:tcPr>
          <w:p>
            <w:pPr>
              <w:spacing w:after="0"/>
              <w:rPr>
                <w:sz w:val="19"/>
                <w:szCs w:val="19"/>
                <w:color w:val="auto"/>
              </w:rPr>
            </w:pP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51.1</w:t>
            </w:r>
          </w:p>
        </w:tc>
        <w:tc>
          <w:tcPr>
            <w:tcW w:w="120" w:type="dxa"/>
            <w:vAlign w:val="bottom"/>
          </w:tcPr>
          <w:p>
            <w:pPr>
              <w:spacing w:after="0"/>
              <w:rPr>
                <w:sz w:val="19"/>
                <w:szCs w:val="19"/>
                <w:color w:val="auto"/>
              </w:rPr>
            </w:pPr>
          </w:p>
        </w:tc>
        <w:tc>
          <w:tcPr>
            <w:tcW w:w="2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center"/>
              <w:ind w:left="180"/>
              <w:spacing w:after="0"/>
              <w:rPr>
                <w:sz w:val="20"/>
                <w:szCs w:val="20"/>
                <w:color w:val="auto"/>
              </w:rPr>
            </w:pPr>
            <w:r>
              <w:rPr>
                <w:rFonts w:ascii="Times New Roman" w:cs="Times New Roman" w:eastAsia="Times New Roman" w:hAnsi="Times New Roman"/>
                <w:sz w:val="16"/>
                <w:szCs w:val="16"/>
                <w:color w:val="auto"/>
                <w:w w:val="97"/>
              </w:rPr>
              <w:t>(0.2)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159.9</w:t>
            </w:r>
          </w:p>
        </w:tc>
        <w:tc>
          <w:tcPr>
            <w:tcW w:w="100" w:type="dxa"/>
            <w:vAlign w:val="bottom"/>
          </w:tcPr>
          <w:p>
            <w:pPr>
              <w:spacing w:after="0"/>
              <w:rPr>
                <w:sz w:val="19"/>
                <w:szCs w:val="19"/>
                <w:color w:val="auto"/>
              </w:rPr>
            </w:pPr>
          </w:p>
        </w:tc>
        <w:tc>
          <w:tcPr>
            <w:tcW w:w="2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150.3</w:t>
            </w:r>
          </w:p>
        </w:tc>
        <w:tc>
          <w:tcPr>
            <w:tcW w:w="100" w:type="dxa"/>
            <w:vAlign w:val="bottom"/>
          </w:tcPr>
          <w:p>
            <w:pPr>
              <w:spacing w:after="0"/>
              <w:rPr>
                <w:sz w:val="19"/>
                <w:szCs w:val="19"/>
                <w:color w:val="auto"/>
              </w:rPr>
            </w:pP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6.4 %</w:t>
            </w:r>
          </w:p>
        </w:tc>
        <w:tc>
          <w:tcPr>
            <w:tcW w:w="0" w:type="dxa"/>
            <w:vAlign w:val="bottom"/>
          </w:tcPr>
          <w:p>
            <w:pPr>
              <w:spacing w:after="0"/>
              <w:rPr>
                <w:sz w:val="1"/>
                <w:szCs w:val="1"/>
                <w:color w:val="auto"/>
              </w:rPr>
            </w:pPr>
          </w:p>
        </w:tc>
      </w:tr>
      <w:tr>
        <w:trPr>
          <w:trHeight w:val="228"/>
        </w:trPr>
        <w:tc>
          <w:tcPr>
            <w:tcW w:w="25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EBITDAR margin</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(240) bps</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35.9 %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37.0 %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 bps</w:t>
            </w:r>
          </w:p>
        </w:tc>
        <w:tc>
          <w:tcPr>
            <w:tcW w:w="0" w:type="dxa"/>
            <w:vAlign w:val="bottom"/>
          </w:tcPr>
          <w:p>
            <w:pPr>
              <w:spacing w:after="0"/>
              <w:rPr>
                <w:sz w:val="1"/>
                <w:szCs w:val="1"/>
                <w:color w:val="auto"/>
              </w:rPr>
            </w:pPr>
          </w:p>
        </w:tc>
      </w:tr>
    </w:tbl>
    <w:p>
      <w:pPr>
        <w:spacing w:after="0" w:line="247" w:lineRule="exact"/>
        <w:rPr>
          <w:sz w:val="20"/>
          <w:szCs w:val="20"/>
          <w:color w:val="auto"/>
        </w:rPr>
      </w:pPr>
    </w:p>
    <w:p>
      <w:pPr>
        <w:ind w:right="200" w:firstLine="319"/>
        <w:spacing w:after="0" w:line="283" w:lineRule="auto"/>
        <w:rPr>
          <w:sz w:val="20"/>
          <w:szCs w:val="20"/>
          <w:color w:val="auto"/>
        </w:rPr>
      </w:pPr>
      <w:r>
        <w:rPr>
          <w:rFonts w:ascii="Times New Roman" w:cs="Times New Roman" w:eastAsia="Times New Roman" w:hAnsi="Times New Roman"/>
          <w:sz w:val="17"/>
          <w:szCs w:val="17"/>
          <w:color w:val="auto"/>
        </w:rPr>
        <w:t>The West segment’s revenues for the three and nine months ended September 30, 2026 increased by $9.2 million and $39.2 million, respectively, compared to the corresponding prior year periods, due to increases in both gaming revenues and food, beverage, hotel, and other revenues. Increases during the three and nine months ended September 30, 2026 were driven primarily by the opening of the second hotel tower at M Resort on December 1, 2025.</w:t>
      </w:r>
    </w:p>
    <w:p>
      <w:pPr>
        <w:spacing w:after="0" w:line="119" w:lineRule="exact"/>
        <w:rPr>
          <w:sz w:val="20"/>
          <w:szCs w:val="20"/>
          <w:color w:val="auto"/>
        </w:rPr>
      </w:pPr>
    </w:p>
    <w:p>
      <w:pPr>
        <w:ind w:right="360" w:firstLine="319"/>
        <w:spacing w:after="0" w:line="275" w:lineRule="auto"/>
        <w:rPr>
          <w:sz w:val="20"/>
          <w:szCs w:val="20"/>
          <w:color w:val="auto"/>
        </w:rPr>
      </w:pPr>
      <w:r>
        <w:rPr>
          <w:rFonts w:ascii="Times New Roman" w:cs="Times New Roman" w:eastAsia="Times New Roman" w:hAnsi="Times New Roman"/>
          <w:sz w:val="18"/>
          <w:szCs w:val="18"/>
          <w:color w:val="auto"/>
        </w:rPr>
        <w:t>For the three months ended September 30, 2026, the West segment’s Adjusted EBITDAR decreased by $0.2 million and Adjusted EBITDAR margin decreased to 34.5%, primarily due to increases in general and administrative expenses and labor costs.</w:t>
      </w:r>
    </w:p>
    <w:p>
      <w:pPr>
        <w:spacing w:after="0" w:line="137" w:lineRule="exact"/>
        <w:rPr>
          <w:sz w:val="20"/>
          <w:szCs w:val="20"/>
          <w:color w:val="auto"/>
        </w:rPr>
      </w:pPr>
    </w:p>
    <w:p>
      <w:pPr>
        <w:ind w:right="120" w:firstLine="319"/>
        <w:spacing w:after="0" w:line="260" w:lineRule="auto"/>
        <w:rPr>
          <w:sz w:val="20"/>
          <w:szCs w:val="20"/>
          <w:color w:val="auto"/>
        </w:rPr>
      </w:pPr>
      <w:r>
        <w:rPr>
          <w:rFonts w:ascii="Times New Roman" w:cs="Times New Roman" w:eastAsia="Times New Roman" w:hAnsi="Times New Roman"/>
          <w:sz w:val="18"/>
          <w:szCs w:val="18"/>
          <w:color w:val="auto"/>
        </w:rPr>
        <w:t>For the nine months ended September 30, 2026, the West segment’s Adjusted EBITDAR increased by $9.6 million primarily due to the increases in revenues discussed above. Adjusted EBITDAR margin decreased to 35.9% primarily due to a one-time favorable adjustment in the prior year period coupled with a one-time unfavorable legal settlement in the current year period, as well as increases in general and administrative expenses.</w:t>
      </w:r>
    </w:p>
    <w:p>
      <w:pPr>
        <w:spacing w:after="0" w:line="1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Midwest Segment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6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For the three months ended</w:t>
            </w:r>
          </w:p>
        </w:tc>
        <w:tc>
          <w:tcPr>
            <w:tcW w:w="240" w:type="dxa"/>
            <w:vAlign w:val="bottom"/>
          </w:tcPr>
          <w:p>
            <w:pPr>
              <w:spacing w:after="0"/>
              <w:rPr>
                <w:sz w:val="16"/>
                <w:szCs w:val="16"/>
                <w:color w:val="auto"/>
              </w:rPr>
            </w:pPr>
          </w:p>
        </w:tc>
        <w:tc>
          <w:tcPr>
            <w:tcW w:w="1080" w:type="dxa"/>
            <w:vAlign w:val="bottom"/>
            <w:gridSpan w:val="3"/>
            <w:vMerge w:val="restart"/>
          </w:tcPr>
          <w:p>
            <w:pPr>
              <w:ind w:left="4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6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For the nine months ended</w:t>
            </w:r>
          </w:p>
        </w:tc>
        <w:tc>
          <w:tcPr>
            <w:tcW w:w="260" w:type="dxa"/>
            <w:vAlign w:val="bottom"/>
          </w:tcPr>
          <w:p>
            <w:pPr>
              <w:spacing w:after="0"/>
              <w:rPr>
                <w:sz w:val="16"/>
                <w:szCs w:val="16"/>
                <w:color w:val="auto"/>
              </w:rPr>
            </w:pPr>
          </w:p>
        </w:tc>
        <w:tc>
          <w:tcPr>
            <w:tcW w:w="1100" w:type="dxa"/>
            <w:vAlign w:val="bottom"/>
            <w:gridSpan w:val="3"/>
            <w:vMerge w:val="restart"/>
          </w:tcPr>
          <w:p>
            <w:pPr>
              <w:ind w:left="5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240" w:type="dxa"/>
            <w:vAlign w:val="bottom"/>
          </w:tcPr>
          <w:p>
            <w:pPr>
              <w:spacing w:after="0"/>
              <w:rPr>
                <w:sz w:val="18"/>
                <w:szCs w:val="18"/>
                <w:color w:val="auto"/>
              </w:rPr>
            </w:pPr>
          </w:p>
        </w:tc>
        <w:tc>
          <w:tcPr>
            <w:tcW w:w="1080" w:type="dxa"/>
            <w:vAlign w:val="bottom"/>
            <w:gridSpan w:val="3"/>
            <w:vMerge w:val="continue"/>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60" w:type="dxa"/>
            <w:vAlign w:val="bottom"/>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520" w:type="dxa"/>
            <w:vAlign w:val="bottom"/>
            <w:gridSpan w:val="3"/>
          </w:tcPr>
          <w:p>
            <w:pPr>
              <w:ind w:left="20"/>
              <w:spacing w:after="0" w:line="153" w:lineRule="exact"/>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280"/>
              <w:spacing w:after="0" w:line="153" w:lineRule="exact"/>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280"/>
              <w:spacing w:after="0" w:line="153" w:lineRule="exact"/>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ind w:right="32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34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280"/>
              <w:spacing w:after="0" w:line="153" w:lineRule="exact"/>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280"/>
              <w:spacing w:after="0" w:line="153"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ind w:right="34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34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1160" w:type="dxa"/>
            <w:vAlign w:val="bottom"/>
            <w:tcBorders>
              <w:top w:val="single" w:sz="8" w:color="auto"/>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Gaming</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299.7</w:t>
            </w:r>
          </w:p>
        </w:tc>
        <w:tc>
          <w:tcPr>
            <w:tcW w:w="120" w:type="dxa"/>
            <w:vAlign w:val="bottom"/>
          </w:tcPr>
          <w:p>
            <w:pPr>
              <w:spacing w:after="0"/>
              <w:rPr>
                <w:sz w:val="19"/>
                <w:szCs w:val="19"/>
                <w:color w:val="auto"/>
              </w:rPr>
            </w:pP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265.1</w:t>
            </w:r>
          </w:p>
        </w:tc>
        <w:tc>
          <w:tcPr>
            <w:tcW w:w="120" w:type="dxa"/>
            <w:vAlign w:val="bottom"/>
          </w:tcPr>
          <w:p>
            <w:pPr>
              <w:spacing w:after="0"/>
              <w:rPr>
                <w:sz w:val="19"/>
                <w:szCs w:val="19"/>
                <w:color w:val="auto"/>
              </w:rPr>
            </w:pPr>
          </w:p>
        </w:tc>
        <w:tc>
          <w:tcPr>
            <w:tcW w:w="2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857.1</w:t>
            </w:r>
          </w:p>
        </w:tc>
        <w:tc>
          <w:tcPr>
            <w:tcW w:w="100" w:type="dxa"/>
            <w:vAlign w:val="bottom"/>
          </w:tcPr>
          <w:p>
            <w:pPr>
              <w:spacing w:after="0"/>
              <w:rPr>
                <w:sz w:val="19"/>
                <w:szCs w:val="19"/>
                <w:color w:val="auto"/>
              </w:rPr>
            </w:pPr>
          </w:p>
        </w:tc>
        <w:tc>
          <w:tcPr>
            <w:tcW w:w="2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781.3</w:t>
            </w:r>
          </w:p>
        </w:tc>
        <w:tc>
          <w:tcPr>
            <w:tcW w:w="100" w:type="dxa"/>
            <w:vAlign w:val="bottom"/>
          </w:tcPr>
          <w:p>
            <w:pPr>
              <w:spacing w:after="0"/>
              <w:rPr>
                <w:sz w:val="19"/>
                <w:szCs w:val="19"/>
                <w:color w:val="auto"/>
              </w:rPr>
            </w:pP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9.7 %</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2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Food, beverage, hotel, and other</w:t>
            </w: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42.2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33.2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27.1 %</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111.3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96.9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14.9 %</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0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Total revenues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341.9</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298.3</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14.6 %</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968.4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878.2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10.3 %</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Adjusted EBITDAR</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134.5</w:t>
            </w:r>
          </w:p>
        </w:tc>
        <w:tc>
          <w:tcPr>
            <w:tcW w:w="120" w:type="dxa"/>
            <w:vAlign w:val="bottom"/>
          </w:tcPr>
          <w:p>
            <w:pPr>
              <w:spacing w:after="0"/>
              <w:rPr>
                <w:sz w:val="19"/>
                <w:szCs w:val="19"/>
                <w:color w:val="auto"/>
              </w:rPr>
            </w:pP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119.1</w:t>
            </w:r>
          </w:p>
        </w:tc>
        <w:tc>
          <w:tcPr>
            <w:tcW w:w="120" w:type="dxa"/>
            <w:vAlign w:val="bottom"/>
          </w:tcPr>
          <w:p>
            <w:pPr>
              <w:spacing w:after="0"/>
              <w:rPr>
                <w:sz w:val="19"/>
                <w:szCs w:val="19"/>
                <w:color w:val="auto"/>
              </w:rPr>
            </w:pPr>
          </w:p>
        </w:tc>
        <w:tc>
          <w:tcPr>
            <w:tcW w:w="2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386.2</w:t>
            </w:r>
          </w:p>
        </w:tc>
        <w:tc>
          <w:tcPr>
            <w:tcW w:w="100" w:type="dxa"/>
            <w:vAlign w:val="bottom"/>
          </w:tcPr>
          <w:p>
            <w:pPr>
              <w:spacing w:after="0"/>
              <w:rPr>
                <w:sz w:val="19"/>
                <w:szCs w:val="19"/>
                <w:color w:val="auto"/>
              </w:rPr>
            </w:pPr>
          </w:p>
        </w:tc>
        <w:tc>
          <w:tcPr>
            <w:tcW w:w="2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354.7</w:t>
            </w:r>
          </w:p>
        </w:tc>
        <w:tc>
          <w:tcPr>
            <w:tcW w:w="100" w:type="dxa"/>
            <w:vAlign w:val="bottom"/>
          </w:tcPr>
          <w:p>
            <w:pPr>
              <w:spacing w:after="0"/>
              <w:rPr>
                <w:sz w:val="19"/>
                <w:szCs w:val="19"/>
                <w:color w:val="auto"/>
              </w:rPr>
            </w:pP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8.9 %</w:t>
            </w:r>
          </w:p>
        </w:tc>
        <w:tc>
          <w:tcPr>
            <w:tcW w:w="0" w:type="dxa"/>
            <w:vAlign w:val="bottom"/>
          </w:tcPr>
          <w:p>
            <w:pPr>
              <w:spacing w:after="0"/>
              <w:rPr>
                <w:sz w:val="1"/>
                <w:szCs w:val="1"/>
                <w:color w:val="auto"/>
              </w:rPr>
            </w:pPr>
          </w:p>
        </w:tc>
      </w:tr>
      <w:tr>
        <w:trPr>
          <w:trHeight w:val="228"/>
        </w:trPr>
        <w:tc>
          <w:tcPr>
            <w:tcW w:w="2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EBITDAR margin</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(60) bps</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 bps</w:t>
            </w:r>
          </w:p>
        </w:tc>
        <w:tc>
          <w:tcPr>
            <w:tcW w:w="0" w:type="dxa"/>
            <w:vAlign w:val="bottom"/>
          </w:tcPr>
          <w:p>
            <w:pPr>
              <w:spacing w:after="0"/>
              <w:rPr>
                <w:sz w:val="1"/>
                <w:szCs w:val="1"/>
                <w:color w:val="auto"/>
              </w:rPr>
            </w:pPr>
          </w:p>
        </w:tc>
      </w:tr>
    </w:tbl>
    <w:p>
      <w:pPr>
        <w:spacing w:after="0" w:line="247" w:lineRule="exact"/>
        <w:rPr>
          <w:sz w:val="20"/>
          <w:szCs w:val="20"/>
          <w:color w:val="auto"/>
        </w:rPr>
      </w:pPr>
    </w:p>
    <w:p>
      <w:pPr>
        <w:ind w:right="40" w:firstLine="319"/>
        <w:spacing w:after="0" w:line="260" w:lineRule="auto"/>
        <w:rPr>
          <w:sz w:val="20"/>
          <w:szCs w:val="20"/>
          <w:color w:val="auto"/>
        </w:rPr>
      </w:pPr>
      <w:r>
        <w:rPr>
          <w:rFonts w:ascii="Times New Roman" w:cs="Times New Roman" w:eastAsia="Times New Roman" w:hAnsi="Times New Roman"/>
          <w:sz w:val="18"/>
          <w:szCs w:val="18"/>
          <w:color w:val="auto"/>
        </w:rPr>
        <w:t>The Midwest segment’s revenues for the three and nine months ended September 30, 2026 increased by $43.6 million and $90.2 million, respectively, compared to the corresponding prior year periods, primarily due to increases in gaming revenues driven by the relocations of Aurora and Joliet from riverboat casino operations to new land-based facilities that opened on June 24, 2026 and August 11, 2025, respectively.</w:t>
      </w:r>
    </w:p>
    <w:p>
      <w:pPr>
        <w:spacing w:after="0" w:line="137" w:lineRule="exact"/>
        <w:rPr>
          <w:sz w:val="20"/>
          <w:szCs w:val="20"/>
          <w:color w:val="auto"/>
        </w:rPr>
      </w:pPr>
    </w:p>
    <w:p>
      <w:pPr>
        <w:ind w:right="380" w:firstLine="319"/>
        <w:spacing w:after="0" w:line="275" w:lineRule="auto"/>
        <w:rPr>
          <w:sz w:val="20"/>
          <w:szCs w:val="20"/>
          <w:color w:val="auto"/>
        </w:rPr>
      </w:pPr>
      <w:r>
        <w:rPr>
          <w:rFonts w:ascii="Times New Roman" w:cs="Times New Roman" w:eastAsia="Times New Roman" w:hAnsi="Times New Roman"/>
          <w:sz w:val="18"/>
          <w:szCs w:val="18"/>
          <w:color w:val="auto"/>
        </w:rPr>
        <w:t>For the three and nine months ended September 30, 2026, the Midwest segment’s Adjusted EBITDAR increased by $15.4 million and $31.5 million, respectively, due to the increase in revenues discussed above.</w:t>
      </w:r>
    </w:p>
    <w:p>
      <w:pPr>
        <w:spacing w:after="0" w:line="123" w:lineRule="exact"/>
        <w:rPr>
          <w:sz w:val="20"/>
          <w:szCs w:val="20"/>
          <w:color w:val="auto"/>
        </w:rPr>
      </w:pPr>
    </w:p>
    <w:p>
      <w:pPr>
        <w:ind w:right="40" w:firstLine="319"/>
        <w:spacing w:after="0" w:line="255" w:lineRule="auto"/>
        <w:rPr>
          <w:sz w:val="20"/>
          <w:szCs w:val="20"/>
          <w:color w:val="auto"/>
        </w:rPr>
      </w:pPr>
      <w:r>
        <w:rPr>
          <w:rFonts w:ascii="Times New Roman" w:cs="Times New Roman" w:eastAsia="Times New Roman" w:hAnsi="Times New Roman"/>
          <w:sz w:val="18"/>
          <w:szCs w:val="18"/>
          <w:color w:val="auto"/>
        </w:rPr>
        <w:t>For the three months ended September 30, 2026, Adjusted EBITDAR margin decreased to 39.3%, primarily due to increases in labor costs and marketing expenses, partially offset by the increases in revenue discussed above. For the nine months ended September 30, 2026, the Adjusted EBITDAR margin decreased to 39.9%, primarily due to increases in labor costs and marketing expenses, partially offset by the increases in revenue discussed above and a one-time favorable property tax adjustment in the current year period.</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187960</wp:posOffset>
            </wp:positionV>
            <wp:extent cx="716026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Interactive Segment</w:t>
      </w: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(dollars in millions)</w:t>
      </w:r>
    </w:p>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p>
      <w:pPr>
        <w:spacing w:after="0" w:line="4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Gaming</w:t>
      </w:r>
    </w:p>
    <w:p>
      <w:pPr>
        <w:spacing w:after="0" w:line="4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color w:val="auto"/>
        </w:rPr>
        <w:t xml:space="preserve">Food, beverage, hotel, and other </w:t>
      </w:r>
      <w:r>
        <w:rPr>
          <w:rFonts w:ascii="Times New Roman" w:cs="Times New Roman" w:eastAsia="Times New Roman" w:hAnsi="Times New Roman"/>
          <w:sz w:val="19"/>
          <w:szCs w:val="19"/>
          <w:color w:val="auto"/>
          <w:vertAlign w:val="superscript"/>
        </w:rPr>
        <w:t>(1)</w:t>
      </w:r>
    </w:p>
    <w:p>
      <w:pPr>
        <w:spacing w:after="0" w:line="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Total revenues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20" w:type="dxa"/>
            <w:vAlign w:val="bottom"/>
          </w:tcPr>
          <w:p>
            <w:pPr>
              <w:spacing w:after="0"/>
              <w:rPr>
                <w:sz w:val="16"/>
                <w:szCs w:val="16"/>
                <w:color w:val="auto"/>
              </w:rPr>
            </w:pPr>
          </w:p>
        </w:tc>
        <w:tc>
          <w:tcPr>
            <w:tcW w:w="214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For the three months ended</w:t>
            </w:r>
          </w:p>
        </w:tc>
        <w:tc>
          <w:tcPr>
            <w:tcW w:w="240" w:type="dxa"/>
            <w:vAlign w:val="bottom"/>
          </w:tcPr>
          <w:p>
            <w:pPr>
              <w:spacing w:after="0"/>
              <w:rPr>
                <w:sz w:val="16"/>
                <w:szCs w:val="16"/>
                <w:color w:val="auto"/>
              </w:rPr>
            </w:pPr>
          </w:p>
        </w:tc>
        <w:tc>
          <w:tcPr>
            <w:tcW w:w="1080" w:type="dxa"/>
            <w:vAlign w:val="bottom"/>
            <w:gridSpan w:val="3"/>
            <w:vMerge w:val="restart"/>
          </w:tcPr>
          <w:p>
            <w:pPr>
              <w:ind w:left="4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6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240" w:type="dxa"/>
            <w:vAlign w:val="bottom"/>
          </w:tcPr>
          <w:p>
            <w:pPr>
              <w:spacing w:after="0"/>
              <w:rPr>
                <w:sz w:val="16"/>
                <w:szCs w:val="16"/>
                <w:color w:val="auto"/>
              </w:rPr>
            </w:pPr>
          </w:p>
        </w:tc>
        <w:tc>
          <w:tcPr>
            <w:tcW w:w="1100" w:type="dxa"/>
            <w:vAlign w:val="bottom"/>
            <w:gridSpan w:val="3"/>
            <w:vMerge w:val="restart"/>
          </w:tcPr>
          <w:p>
            <w:pPr>
              <w:ind w:left="5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20" w:type="dxa"/>
            <w:vAlign w:val="bottom"/>
          </w:tcPr>
          <w:p>
            <w:pPr>
              <w:spacing w:after="0"/>
              <w:rPr>
                <w:sz w:val="18"/>
                <w:szCs w:val="18"/>
                <w:color w:val="auto"/>
              </w:rPr>
            </w:pPr>
          </w:p>
        </w:tc>
        <w:tc>
          <w:tcPr>
            <w:tcW w:w="214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240" w:type="dxa"/>
            <w:vAlign w:val="bottom"/>
          </w:tcPr>
          <w:p>
            <w:pPr>
              <w:spacing w:after="0"/>
              <w:rPr>
                <w:sz w:val="18"/>
                <w:szCs w:val="18"/>
                <w:color w:val="auto"/>
              </w:rPr>
            </w:pPr>
          </w:p>
        </w:tc>
        <w:tc>
          <w:tcPr>
            <w:tcW w:w="1080" w:type="dxa"/>
            <w:vAlign w:val="bottom"/>
            <w:gridSpan w:val="3"/>
            <w:vMerge w:val="continue"/>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240" w:type="dxa"/>
            <w:vAlign w:val="bottom"/>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429"/>
        </w:trPr>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126.6</w:t>
            </w:r>
          </w:p>
        </w:tc>
        <w:tc>
          <w:tcPr>
            <w:tcW w:w="80" w:type="dxa"/>
            <w:vAlign w:val="bottom"/>
          </w:tcPr>
          <w:p>
            <w:pPr>
              <w:spacing w:after="0"/>
              <w:rPr>
                <w:sz w:val="24"/>
                <w:szCs w:val="24"/>
                <w:color w:val="auto"/>
              </w:rPr>
            </w:pPr>
          </w:p>
        </w:tc>
        <w:tc>
          <w:tcPr>
            <w:tcW w:w="2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129.3</w:t>
            </w:r>
          </w:p>
        </w:tc>
        <w:tc>
          <w:tcPr>
            <w:tcW w:w="100" w:type="dxa"/>
            <w:vAlign w:val="bottom"/>
          </w:tcPr>
          <w:p>
            <w:pPr>
              <w:spacing w:after="0"/>
              <w:rPr>
                <w:sz w:val="24"/>
                <w:szCs w:val="24"/>
                <w:color w:val="auto"/>
              </w:rPr>
            </w:pPr>
          </w:p>
        </w:tc>
        <w:tc>
          <w:tcPr>
            <w:tcW w:w="2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391.9</w:t>
            </w:r>
          </w:p>
        </w:tc>
        <w:tc>
          <w:tcPr>
            <w:tcW w:w="100" w:type="dxa"/>
            <w:vAlign w:val="bottom"/>
          </w:tcPr>
          <w:p>
            <w:pPr>
              <w:spacing w:after="0"/>
              <w:rPr>
                <w:sz w:val="24"/>
                <w:szCs w:val="24"/>
                <w:color w:val="auto"/>
              </w:rPr>
            </w:pPr>
          </w:p>
        </w:tc>
        <w:tc>
          <w:tcPr>
            <w:tcW w:w="2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398.4</w:t>
            </w:r>
          </w:p>
        </w:tc>
        <w:tc>
          <w:tcPr>
            <w:tcW w:w="100" w:type="dxa"/>
            <w:vAlign w:val="bottom"/>
          </w:tcPr>
          <w:p>
            <w:pPr>
              <w:spacing w:after="0"/>
              <w:rPr>
                <w:sz w:val="24"/>
                <w:szCs w:val="24"/>
                <w:color w:val="auto"/>
              </w:rPr>
            </w:pPr>
          </w:p>
        </w:tc>
        <w:tc>
          <w:tcPr>
            <w:tcW w:w="2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28"/>
        </w:trPr>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221.8</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168.4</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53.4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31.7 %</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664.1</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505.5</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31.4 %</w:t>
            </w:r>
          </w:p>
        </w:tc>
        <w:tc>
          <w:tcPr>
            <w:tcW w:w="0" w:type="dxa"/>
            <w:vAlign w:val="bottom"/>
          </w:tcPr>
          <w:p>
            <w:pPr>
              <w:spacing w:after="0"/>
              <w:rPr>
                <w:sz w:val="1"/>
                <w:szCs w:val="1"/>
                <w:color w:val="auto"/>
              </w:rPr>
            </w:pPr>
          </w:p>
        </w:tc>
      </w:tr>
      <w:tr>
        <w:trPr>
          <w:trHeight w:val="222"/>
        </w:trPr>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348.4</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297.7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50.7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17.0 %</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1,056.0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903.9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16.8 %</w:t>
            </w: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-1646555</wp:posOffset>
            </wp:positionH>
            <wp:positionV relativeFrom="paragraph">
              <wp:posOffset>-614680</wp:posOffset>
            </wp:positionV>
            <wp:extent cx="7134860" cy="1435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4860" cy="143510"/>
                    </a:xfrm>
                    <a:prstGeom prst="rect">
                      <a:avLst/>
                    </a:prstGeom>
                    <a:noFill/>
                  </pic:spPr>
                </pic:pic>
              </a:graphicData>
            </a:graphic>
          </wp:anchor>
        </w:drawing>
        <w:drawing>
          <wp:anchor simplePos="0" relativeHeight="251657728" behindDoc="1" locked="0" layoutInCell="0" allowOverlap="1">
            <wp:simplePos x="0" y="0"/>
            <wp:positionH relativeFrom="column">
              <wp:posOffset>-1646555</wp:posOffset>
            </wp:positionH>
            <wp:positionV relativeFrom="paragraph">
              <wp:posOffset>-328295</wp:posOffset>
            </wp:positionV>
            <wp:extent cx="7134860" cy="1435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4860" cy="143510"/>
                    </a:xfrm>
                    <a:prstGeom prst="rect">
                      <a:avLst/>
                    </a:prstGeom>
                    <a:noFill/>
                  </pic:spPr>
                </pic:pic>
              </a:graphicData>
            </a:graphic>
          </wp:anchor>
        </w:drawing>
        <w:drawing>
          <wp:anchor simplePos="0" relativeHeight="251657728" behindDoc="1" locked="0" layoutInCell="0" allowOverlap="1">
            <wp:simplePos x="0" y="0"/>
            <wp:positionH relativeFrom="column">
              <wp:posOffset>-1646555</wp:posOffset>
            </wp:positionH>
            <wp:positionV relativeFrom="paragraph">
              <wp:posOffset>-16510</wp:posOffset>
            </wp:positionV>
            <wp:extent cx="7134860" cy="168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4860" cy="1689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60" w:space="240"/>
            <w:col w:w="8640"/>
          </w:cols>
          <w:pgMar w:left="320" w:top="121" w:right="339" w:bottom="1440" w:gutter="0" w:footer="0" w:header="0"/>
          <w:type w:val="continuous"/>
        </w:sectPr>
      </w:pP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7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(18.3)</w:t>
            </w:r>
          </w:p>
        </w:tc>
        <w:tc>
          <w:tcPr>
            <w:tcW w:w="3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(76.6)</w:t>
            </w:r>
          </w:p>
        </w:tc>
        <w:tc>
          <w:tcPr>
            <w:tcW w:w="3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rPr>
              <w:t>58.3</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w:t>
            </w:r>
          </w:p>
        </w:tc>
        <w:tc>
          <w:tcPr>
            <w:tcW w:w="3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(38.7)</w:t>
            </w: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(227.6)</w:t>
            </w: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rPr>
              <w:t>188.9</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w:t>
            </w:r>
          </w:p>
        </w:tc>
      </w:tr>
      <w:tr>
        <w:trPr>
          <w:trHeight w:val="228"/>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 margin</w:t>
            </w:r>
          </w:p>
        </w:tc>
        <w:tc>
          <w:tcPr>
            <w:tcW w:w="7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r>
    </w:tbl>
    <w:p>
      <w:pPr>
        <w:spacing w:after="0" w:line="70" w:lineRule="exact"/>
        <w:rPr>
          <w:sz w:val="20"/>
          <w:szCs w:val="20"/>
          <w:color w:val="auto"/>
        </w:rPr>
      </w:pPr>
    </w:p>
    <w:p>
      <w:pPr>
        <w:ind w:right="7240" w:firstLine="6"/>
        <w:spacing w:after="0" w:line="291" w:lineRule="auto"/>
        <w:tabs>
          <w:tab w:leader="none" w:pos="2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“Food, beverage, hotel, and other” only includes “other” revenue. N/M - Not meaningful</w:t>
      </w:r>
    </w:p>
    <w:p>
      <w:pPr>
        <w:spacing w:after="0" w:line="132" w:lineRule="exact"/>
        <w:rPr>
          <w:sz w:val="20"/>
          <w:szCs w:val="20"/>
          <w:color w:val="auto"/>
        </w:rPr>
      </w:pPr>
    </w:p>
    <w:p>
      <w:pPr>
        <w:ind w:right="60" w:firstLine="319"/>
        <w:spacing w:after="0" w:line="252" w:lineRule="auto"/>
        <w:rPr>
          <w:sz w:val="20"/>
          <w:szCs w:val="20"/>
          <w:color w:val="auto"/>
        </w:rPr>
      </w:pPr>
      <w:r>
        <w:rPr>
          <w:rFonts w:ascii="Times New Roman" w:cs="Times New Roman" w:eastAsia="Times New Roman" w:hAnsi="Times New Roman"/>
          <w:sz w:val="18"/>
          <w:szCs w:val="18"/>
          <w:color w:val="auto"/>
        </w:rPr>
        <w:t>The Interactive segment’s revenues for the three and nine months ended September 30, 2026 increased by $50.7 million and $152.1 million, respectively, compared to the corresponding prior year periods, primarily due to increases in other revenues. Other revenues include gaming tax amounts related to third-party OSB and/or iCasino partners for OSB and iCasino market access of $191.4 million and $139.5 million for the three months ended September 30, 2026 and 2025, respectively, and $562.7 million and $405.6 million for the nine months ended September 30, 2026 and 2025, respectively. Additionally, online gaming revenues decreased as growth in our iCasino revenues was offset by decreases in OSB revenues due to lower handle compared to the corresponding prior year periods.</w:t>
      </w:r>
    </w:p>
    <w:p>
      <w:pPr>
        <w:spacing w:after="0" w:line="144" w:lineRule="exact"/>
        <w:rPr>
          <w:sz w:val="20"/>
          <w:szCs w:val="20"/>
          <w:color w:val="auto"/>
        </w:rPr>
      </w:pPr>
    </w:p>
    <w:p>
      <w:pPr>
        <w:ind w:right="700" w:firstLine="319"/>
        <w:spacing w:after="0" w:line="275" w:lineRule="auto"/>
        <w:rPr>
          <w:sz w:val="20"/>
          <w:szCs w:val="20"/>
          <w:color w:val="auto"/>
        </w:rPr>
      </w:pPr>
      <w:r>
        <w:rPr>
          <w:rFonts w:ascii="Times New Roman" w:cs="Times New Roman" w:eastAsia="Times New Roman" w:hAnsi="Times New Roman"/>
          <w:sz w:val="18"/>
          <w:szCs w:val="18"/>
          <w:color w:val="auto"/>
        </w:rPr>
        <w:t>For the three and nine months ended September 30, 2026, the Interactive segment’s Adjusted EBITDA and Adjusted EBITDA margin increased primarily due to decreases in marketing expense, general and administrative expenses, and labor costs.</w:t>
      </w:r>
    </w:p>
    <w:p>
      <w:pPr>
        <w:spacing w:after="0" w:line="1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80" w:type="dxa"/>
            <w:vAlign w:val="bottom"/>
            <w:gridSpan w:val="6"/>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For the three months ended</w:t>
            </w:r>
          </w:p>
        </w:tc>
        <w:tc>
          <w:tcPr>
            <w:tcW w:w="260" w:type="dxa"/>
            <w:vAlign w:val="bottom"/>
          </w:tcPr>
          <w:p>
            <w:pPr>
              <w:spacing w:after="0"/>
              <w:rPr>
                <w:sz w:val="16"/>
                <w:szCs w:val="16"/>
                <w:color w:val="auto"/>
              </w:rPr>
            </w:pPr>
          </w:p>
        </w:tc>
        <w:tc>
          <w:tcPr>
            <w:tcW w:w="1140" w:type="dxa"/>
            <w:vAlign w:val="bottom"/>
            <w:gridSpan w:val="3"/>
            <w:vMerge w:val="restart"/>
          </w:tcPr>
          <w:p>
            <w:pPr>
              <w:ind w:left="5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6"/>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For the nine months ended</w:t>
            </w:r>
          </w:p>
        </w:tc>
        <w:tc>
          <w:tcPr>
            <w:tcW w:w="260" w:type="dxa"/>
            <w:vAlign w:val="bottom"/>
          </w:tcPr>
          <w:p>
            <w:pPr>
              <w:spacing w:after="0"/>
              <w:rPr>
                <w:sz w:val="16"/>
                <w:szCs w:val="16"/>
                <w:color w:val="auto"/>
              </w:rPr>
            </w:pPr>
          </w:p>
        </w:tc>
        <w:tc>
          <w:tcPr>
            <w:tcW w:w="1160" w:type="dxa"/>
            <w:vAlign w:val="bottom"/>
            <w:gridSpan w:val="3"/>
            <w:vMerge w:val="restart"/>
          </w:tcPr>
          <w:p>
            <w:pPr>
              <w:ind w:left="5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60" w:type="dxa"/>
            <w:vAlign w:val="bottom"/>
          </w:tcPr>
          <w:p>
            <w:pPr>
              <w:spacing w:after="0"/>
              <w:rPr>
                <w:sz w:val="18"/>
                <w:szCs w:val="18"/>
                <w:color w:val="auto"/>
              </w:rPr>
            </w:pPr>
          </w:p>
        </w:tc>
        <w:tc>
          <w:tcPr>
            <w:tcW w:w="1140" w:type="dxa"/>
            <w:vAlign w:val="bottom"/>
            <w:gridSpan w:val="3"/>
            <w:vMerge w:val="continue"/>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60" w:type="dxa"/>
            <w:vAlign w:val="bottom"/>
          </w:tcPr>
          <w:p>
            <w:pPr>
              <w:spacing w:after="0"/>
              <w:rPr>
                <w:sz w:val="18"/>
                <w:szCs w:val="18"/>
                <w:color w:val="auto"/>
              </w:rPr>
            </w:pPr>
          </w:p>
        </w:tc>
        <w:tc>
          <w:tcPr>
            <w:tcW w:w="1160" w:type="dxa"/>
            <w:vAlign w:val="bottom"/>
            <w:gridSpan w:val="3"/>
            <w:vMerge w:val="continue"/>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720" w:type="dxa"/>
            <w:vAlign w:val="bottom"/>
            <w:gridSpan w:val="3"/>
          </w:tcPr>
          <w:p>
            <w:pPr>
              <w:ind w:left="20"/>
              <w:spacing w:after="0" w:line="153" w:lineRule="exact"/>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ind w:right="220"/>
              <w:spacing w:after="0" w:line="153" w:lineRule="exact"/>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240"/>
              <w:spacing w:after="0" w:line="153"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ind w:right="36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ind w:right="38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240"/>
              <w:spacing w:after="0" w:line="153" w:lineRule="exact"/>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240"/>
              <w:spacing w:after="0" w:line="153"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ind w:right="36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38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1160" w:type="dxa"/>
            <w:vAlign w:val="bottom"/>
            <w:tcBorders>
              <w:top w:val="single" w:sz="8" w:color="auto"/>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27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Food, beverage, hotel, and other</w:t>
            </w:r>
          </w:p>
        </w:tc>
        <w:tc>
          <w:tcPr>
            <w:tcW w:w="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center"/>
              <w:ind w:left="220"/>
              <w:spacing w:after="0"/>
              <w:rPr>
                <w:sz w:val="20"/>
                <w:szCs w:val="20"/>
                <w:color w:val="auto"/>
              </w:rPr>
            </w:pPr>
            <w:r>
              <w:rPr>
                <w:rFonts w:ascii="Times New Roman" w:cs="Times New Roman" w:eastAsia="Times New Roman" w:hAnsi="Times New Roman"/>
                <w:sz w:val="16"/>
                <w:szCs w:val="16"/>
                <w:color w:val="auto"/>
                <w:w w:val="97"/>
              </w:rPr>
              <w:t>(0.1)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center"/>
              <w:ind w:left="260"/>
              <w:spacing w:after="0"/>
              <w:rPr>
                <w:sz w:val="20"/>
                <w:szCs w:val="20"/>
                <w:color w:val="auto"/>
              </w:rPr>
            </w:pPr>
            <w:r>
              <w:rPr>
                <w:rFonts w:ascii="Times New Roman" w:cs="Times New Roman" w:eastAsia="Times New Roman" w:hAnsi="Times New Roman"/>
                <w:sz w:val="16"/>
                <w:szCs w:val="16"/>
                <w:color w:val="auto"/>
                <w:w w:val="99"/>
              </w:rPr>
              <w:t>14.8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47"/>
        </w:trPr>
        <w:tc>
          <w:tcPr>
            <w:tcW w:w="20" w:type="dxa"/>
            <w:vAlign w:val="bottom"/>
            <w:tcBorders>
              <w:bottom w:val="single" w:sz="8" w:color="CCEEFF"/>
            </w:tcBorders>
            <w:shd w:val="clear" w:color="auto" w:fill="CCEEFF"/>
          </w:tcPr>
          <w:p>
            <w:pPr>
              <w:spacing w:after="0"/>
              <w:rPr>
                <w:sz w:val="21"/>
                <w:szCs w:val="21"/>
                <w:color w:val="auto"/>
              </w:rPr>
            </w:pPr>
          </w:p>
        </w:tc>
        <w:tc>
          <w:tcPr>
            <w:tcW w:w="270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revenues</w:t>
            </w: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center"/>
              <w:ind w:left="220"/>
              <w:spacing w:after="0"/>
              <w:rPr>
                <w:sz w:val="20"/>
                <w:szCs w:val="20"/>
                <w:color w:val="auto"/>
              </w:rPr>
            </w:pPr>
            <w:r>
              <w:rPr>
                <w:rFonts w:ascii="Times New Roman" w:cs="Times New Roman" w:eastAsia="Times New Roman" w:hAnsi="Times New Roman"/>
                <w:sz w:val="16"/>
                <w:szCs w:val="16"/>
                <w:color w:val="auto"/>
                <w:w w:val="97"/>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center"/>
              <w:ind w:left="260"/>
              <w:spacing w:after="0"/>
              <w:rPr>
                <w:sz w:val="20"/>
                <w:szCs w:val="20"/>
                <w:color w:val="auto"/>
              </w:rPr>
            </w:pPr>
            <w:r>
              <w:rPr>
                <w:rFonts w:ascii="Times New Roman" w:cs="Times New Roman" w:eastAsia="Times New Roman" w:hAnsi="Times New Roman"/>
                <w:sz w:val="16"/>
                <w:szCs w:val="16"/>
                <w:color w:val="auto"/>
                <w:w w:val="99"/>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EBITDAR</w:t>
            </w: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center"/>
              <w:ind w:left="240"/>
              <w:spacing w:after="0"/>
              <w:rPr>
                <w:sz w:val="20"/>
                <w:szCs w:val="20"/>
                <w:color w:val="auto"/>
              </w:rPr>
            </w:pPr>
            <w:r>
              <w:rPr>
                <w:rFonts w:ascii="Times New Roman" w:cs="Times New Roman" w:eastAsia="Times New Roman" w:hAnsi="Times New Roman"/>
                <w:sz w:val="16"/>
                <w:szCs w:val="16"/>
                <w:color w:val="auto"/>
                <w:w w:val="99"/>
              </w:rPr>
              <w:t>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center"/>
              <w:ind w:left="240"/>
              <w:spacing w:after="0"/>
              <w:rPr>
                <w:sz w:val="20"/>
                <w:szCs w:val="20"/>
                <w:color w:val="auto"/>
              </w:rPr>
            </w:pPr>
            <w:r>
              <w:rPr>
                <w:rFonts w:ascii="Times New Roman" w:cs="Times New Roman" w:eastAsia="Times New Roman" w:hAnsi="Times New Roman"/>
                <w:sz w:val="16"/>
                <w:szCs w:val="16"/>
                <w:color w:val="auto"/>
                <w:w w:val="98"/>
              </w:rPr>
              <w:t>(94.9)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20" w:firstLine="319"/>
        <w:spacing w:after="0" w:line="283" w:lineRule="auto"/>
        <w:rPr>
          <w:sz w:val="20"/>
          <w:szCs w:val="20"/>
          <w:color w:val="auto"/>
        </w:rPr>
      </w:pPr>
      <w:r>
        <w:rPr>
          <w:rFonts w:ascii="Times New Roman" w:cs="Times New Roman" w:eastAsia="Times New Roman" w:hAnsi="Times New Roman"/>
          <w:sz w:val="17"/>
          <w:szCs w:val="17"/>
          <w:color w:val="auto"/>
        </w:rPr>
        <w:t>Other consists of the Company’s standalone racing operations, as well as corporate overhead expenses, which primarily include certain expenses such as payroll, professional fees, travel expenses, and other general and administrative expenses that do not directly relate to a reportable segment or have not otherwise been allocated. Revenues for the three and nine months ended September 30, 2026 remained relatively flat compared to the prior year periods.</w:t>
      </w:r>
    </w:p>
    <w:p>
      <w:pPr>
        <w:spacing w:after="0" w:line="119" w:lineRule="exact"/>
        <w:rPr>
          <w:sz w:val="20"/>
          <w:szCs w:val="20"/>
          <w:color w:val="auto"/>
        </w:rPr>
      </w:pPr>
    </w:p>
    <w:p>
      <w:pPr>
        <w:ind w:right="60" w:firstLine="319"/>
        <w:spacing w:after="0" w:line="255" w:lineRule="auto"/>
        <w:rPr>
          <w:sz w:val="20"/>
          <w:szCs w:val="20"/>
          <w:color w:val="auto"/>
        </w:rPr>
      </w:pPr>
      <w:r>
        <w:rPr>
          <w:rFonts w:ascii="Times New Roman" w:cs="Times New Roman" w:eastAsia="Times New Roman" w:hAnsi="Times New Roman"/>
          <w:sz w:val="18"/>
          <w:szCs w:val="18"/>
          <w:color w:val="auto"/>
        </w:rPr>
        <w:t>Corporate overhead expenses were $30.4 million and $34.0 million for the three months ended September 30, 2026 and 2025, respectively, and $88.1 million and $108.7 million for the nine months ended September 30, 2026 and 2025, respectively. Corporate overhead expenses for the three and nine months ended September 30, 2025 included $3.9 million and $21.0 million, respectively, of legal and advisory costs related to activist activity in connection with our 2025 annual meeting of shareholders.</w:t>
      </w:r>
    </w:p>
    <w:p>
      <w:pPr>
        <w:spacing w:after="0" w:line="156" w:lineRule="exact"/>
        <w:rPr>
          <w:sz w:val="20"/>
          <w:szCs w:val="20"/>
          <w:color w:val="auto"/>
        </w:rPr>
      </w:pPr>
    </w:p>
    <w:p>
      <w:pPr>
        <w:ind w:right="60" w:firstLine="319"/>
        <w:spacing w:after="0" w:line="275" w:lineRule="auto"/>
        <w:rPr>
          <w:sz w:val="20"/>
          <w:szCs w:val="20"/>
          <w:color w:val="auto"/>
        </w:rPr>
      </w:pPr>
      <w:r>
        <w:rPr>
          <w:rFonts w:ascii="Times New Roman" w:cs="Times New Roman" w:eastAsia="Times New Roman" w:hAnsi="Times New Roman"/>
          <w:sz w:val="18"/>
          <w:szCs w:val="18"/>
          <w:color w:val="auto"/>
        </w:rPr>
        <w:t>Changes in Adjusted EBITDAR for the three and nine months ended September 30, 2026 primarily relate to the prior year periods including $3.9 million and $21.0 million, respectively, of legal and advisory costs as described above.</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179705</wp:posOffset>
            </wp:positionV>
            <wp:extent cx="716026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Reportable Segment Measures</w:t>
      </w:r>
    </w:p>
    <w:p>
      <w:pPr>
        <w:spacing w:after="0" w:line="195" w:lineRule="exact"/>
        <w:rPr>
          <w:sz w:val="20"/>
          <w:szCs w:val="20"/>
          <w:color w:val="auto"/>
        </w:rPr>
      </w:pPr>
    </w:p>
    <w:p>
      <w:pPr>
        <w:ind w:right="40" w:firstLine="319"/>
        <w:spacing w:after="0" w:line="249" w:lineRule="auto"/>
        <w:rPr>
          <w:sz w:val="20"/>
          <w:szCs w:val="20"/>
          <w:color w:val="auto"/>
        </w:rPr>
      </w:pPr>
      <w:r>
        <w:rPr>
          <w:rFonts w:ascii="Times New Roman" w:cs="Times New Roman" w:eastAsia="Times New Roman" w:hAnsi="Times New Roman"/>
          <w:sz w:val="18"/>
          <w:szCs w:val="18"/>
          <w:color w:val="auto"/>
        </w:rPr>
        <w:t>Segment Adjusted EBITDAR is our measure of profit or loss for our reportable segments and underlying operating segments. We define Segment Adjusted EBITDAR as earnings before interest expense, net, interest income, income taxes, depreciation and amortization, stock-based compensation, debt extinguishment charges, impairment losses, insurance recoveries, net of deductible charges, changes in the estimated fair value of our contingent purchase price obligations, gain or loss on disposal of assets, the difference between budget and actual expense for cash-settled stock-based awards, pre-opening expenses, loss on disposal of a business, non-cash gains/losses associated with REIT transactions, and other. Segment Adjusted EBITDAR excludes rent expense associated with triple net operating leases (which is a normal, recurring cash operating expense necessary to operate our business). Segment Adjusted EBITDAR is inclusive of income or loss from unconsolidated affiliates, with our share of non-operating items (such as interest expense, net and depreciation and amortization) added back for our Kansas Entertainment, LLC joint venture. Segment Adjusted EBITDAR margin is Segment Adjusted EBITDAR divided by related segment revenues.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Use and Definitions</w:t>
      </w:r>
    </w:p>
    <w:p>
      <w:pPr>
        <w:spacing w:after="0" w:line="195" w:lineRule="exact"/>
        <w:rPr>
          <w:sz w:val="20"/>
          <w:szCs w:val="20"/>
          <w:color w:val="auto"/>
        </w:rPr>
      </w:pPr>
    </w:p>
    <w:p>
      <w:pPr>
        <w:ind w:firstLine="319"/>
        <w:spacing w:after="0" w:line="255" w:lineRule="auto"/>
        <w:rPr>
          <w:sz w:val="20"/>
          <w:szCs w:val="20"/>
          <w:color w:val="auto"/>
        </w:rPr>
      </w:pPr>
      <w:r>
        <w:rPr>
          <w:rFonts w:ascii="Times New Roman" w:cs="Times New Roman" w:eastAsia="Times New Roman" w:hAnsi="Times New Roman"/>
          <w:sz w:val="18"/>
          <w:szCs w:val="18"/>
          <w:color w:val="auto"/>
        </w:rPr>
        <w:t>In addition to GAAP financial measures, management uses Consolidated Adjusted EBITDA as a non-GAAP financial measure. This non-GAAP financial measure should not be considered a substitute for, nor superior to, financial results and measures determined or calculated in accordance with GAAP. This non-GAAP financial measure is not calculated in the same manner by all companies and, accordingly, may not be an appropriate measure of comparing performance among different companies.</w:t>
      </w:r>
    </w:p>
    <w:p>
      <w:pPr>
        <w:spacing w:after="0" w:line="143" w:lineRule="exact"/>
        <w:rPr>
          <w:sz w:val="20"/>
          <w:szCs w:val="20"/>
          <w:color w:val="auto"/>
        </w:rPr>
      </w:pPr>
    </w:p>
    <w:p>
      <w:pPr>
        <w:ind w:right="40" w:firstLine="319"/>
        <w:spacing w:after="0" w:line="249" w:lineRule="auto"/>
        <w:rPr>
          <w:sz w:val="20"/>
          <w:szCs w:val="20"/>
          <w:color w:val="auto"/>
        </w:rPr>
      </w:pPr>
      <w:r>
        <w:rPr>
          <w:rFonts w:ascii="Times New Roman" w:cs="Times New Roman" w:eastAsia="Times New Roman" w:hAnsi="Times New Roman"/>
          <w:sz w:val="18"/>
          <w:szCs w:val="18"/>
          <w:color w:val="auto"/>
        </w:rPr>
        <w:t>We define Consolidated Adjusted EBITDA as earnings before interest expense, net, interest income, income taxes, depreciation and amortization, stock-based compensation, debt extinguishment charges, impairment losses, insurance recoveries, net of deductible charges, changes in the estimated fair value of our contingent purchase price obligations, gain or loss on disposal of assets, the difference between budget and actual expense for cash-settled stock-based awards, pre-opening expenses, loss on disposal of business, non-cash gains/losses associated with REIT transactions, and other. Consolidated Adjusted EBITDA is inclusive of income or loss from unconsolidated affiliates, with our share of non-operating items (such as interest expense, net and depreciation and amortization) added back for our Kansas Entertainment, LLC joint venture. Consolidated Adjusted EBITDA is inclusive of rent expense associated with our triple net operating leases with our REIT landlords. Although Consolidated Adjusted EBITDA includes rent expense associated with our triple net operating leases, we believe Consolidated Adjusted EBITDA is useful as a supplemental measure in evaluating the performance of our consolidated results of operations.</w:t>
      </w:r>
    </w:p>
    <w:p>
      <w:pPr>
        <w:spacing w:after="0" w:line="152" w:lineRule="exact"/>
        <w:rPr>
          <w:sz w:val="20"/>
          <w:szCs w:val="20"/>
          <w:color w:val="auto"/>
        </w:rPr>
      </w:pPr>
    </w:p>
    <w:p>
      <w:pPr>
        <w:ind w:right="60" w:firstLine="319"/>
        <w:spacing w:after="0" w:line="249" w:lineRule="auto"/>
        <w:rPr>
          <w:sz w:val="20"/>
          <w:szCs w:val="20"/>
          <w:color w:val="auto"/>
        </w:rPr>
      </w:pPr>
      <w:r>
        <w:rPr>
          <w:rFonts w:ascii="Times New Roman" w:cs="Times New Roman" w:eastAsia="Times New Roman" w:hAnsi="Times New Roman"/>
          <w:sz w:val="18"/>
          <w:szCs w:val="18"/>
          <w:color w:val="auto"/>
        </w:rPr>
        <w:t>Consolidated Adjusted EBITDA has economic substance because it is used by management as a performance measure to analyze the performance of our business, and is especially relevant in evaluating large, long-lived casino-hotel projects because it provides a perspective on the current effects of operating decisions separated from the substantial non-operational depreciation charges and financing costs of such projects. We present Consolidated Adjusted EBITDA because it is used by some investors and creditors as an indicator of the strength and performance of ongoing business operations, including our ability to service debt, and to fund capital expenditures, acquisitions and operations. These calculations are commonly used as a basis for investors, analysts, and credit rating agencies to evaluate and compare operating performance and value companies within our industry. In order to view the operations of their casinos on a more standalone basis, gaming companies, including us, have historically excluded from their Consolidated Adjusted EBITDA calculations certain corporate expenses that do not relate to the management of specific casino properties. However, Consolidated Adjusted EBITDA is not a measure of performance or liquidity calculated in accordance with GAAP. Consolidated Adjusted EBITDA information is presented as a supplemental disclosure, as management believes that it is a commonly used measure of performance in the gaming industry and that it is considered by many to be a key indicator of the Company’s operating results.</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187960</wp:posOffset>
            </wp:positionV>
            <wp:extent cx="716026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GAAP Financial Measures to Non-GAAP Financial Measure</w:t>
      </w:r>
    </w:p>
    <w:p>
      <w:pPr>
        <w:spacing w:after="0" w:line="195" w:lineRule="exact"/>
        <w:rPr>
          <w:sz w:val="20"/>
          <w:szCs w:val="20"/>
          <w:color w:val="auto"/>
        </w:rPr>
      </w:pPr>
    </w:p>
    <w:p>
      <w:pPr>
        <w:ind w:right="260" w:firstLine="319"/>
        <w:spacing w:after="0" w:line="275" w:lineRule="auto"/>
        <w:rPr>
          <w:sz w:val="20"/>
          <w:szCs w:val="20"/>
          <w:color w:val="auto"/>
        </w:rPr>
      </w:pPr>
      <w:r>
        <w:rPr>
          <w:rFonts w:ascii="Times New Roman" w:cs="Times New Roman" w:eastAsia="Times New Roman" w:hAnsi="Times New Roman"/>
          <w:sz w:val="18"/>
          <w:szCs w:val="18"/>
          <w:color w:val="auto"/>
        </w:rPr>
        <w:t>The following table includes a reconciliation of net income (loss), which is determined in accordance with GAAP, to Consolidated Adjusted EBITDA, which is a non-GAAP financial measure: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0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40" w:type="dxa"/>
            <w:vAlign w:val="bottom"/>
          </w:tcPr>
          <w:p>
            <w:pPr>
              <w:spacing w:after="0"/>
              <w:rPr>
                <w:sz w:val="16"/>
                <w:szCs w:val="16"/>
                <w:color w:val="auto"/>
              </w:rPr>
            </w:pPr>
          </w:p>
        </w:tc>
        <w:tc>
          <w:tcPr>
            <w:tcW w:w="2380" w:type="dxa"/>
            <w:vAlign w:val="bottom"/>
            <w:gridSpan w:val="4"/>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11"/>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0" w:type="dxa"/>
            <w:vAlign w:val="bottom"/>
            <w:tcBorders>
              <w:bottom w:val="single" w:sz="8" w:color="auto"/>
            </w:tcBorders>
          </w:tcPr>
          <w:p>
            <w:pPr>
              <w:spacing w:after="0"/>
              <w:rPr>
                <w:sz w:val="18"/>
                <w:szCs w:val="18"/>
                <w:color w:val="auto"/>
              </w:rPr>
            </w:pPr>
          </w:p>
        </w:tc>
      </w:tr>
      <w:tr>
        <w:trPr>
          <w:trHeight w:val="167"/>
        </w:trPr>
        <w:tc>
          <w:tcPr>
            <w:tcW w:w="5880" w:type="dxa"/>
            <w:vAlign w:val="bottom"/>
            <w:gridSpan w:val="3"/>
          </w:tcPr>
          <w:p>
            <w:pPr>
              <w:ind w:left="20"/>
              <w:spacing w:after="0" w:line="153"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40" w:type="dxa"/>
            <w:vAlign w:val="bottom"/>
          </w:tcPr>
          <w:p>
            <w:pPr>
              <w:spacing w:after="0"/>
              <w:rPr>
                <w:sz w:val="14"/>
                <w:szCs w:val="14"/>
                <w:color w:val="auto"/>
              </w:rPr>
            </w:pPr>
          </w:p>
        </w:tc>
        <w:tc>
          <w:tcPr>
            <w:tcW w:w="1020" w:type="dxa"/>
            <w:vAlign w:val="bottom"/>
          </w:tcPr>
          <w:p>
            <w:pPr>
              <w:jc w:val="right"/>
              <w:ind w:right="400"/>
              <w:spacing w:after="0" w:line="153" w:lineRule="exact"/>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jc w:val="right"/>
              <w:ind w:right="380"/>
              <w:spacing w:after="0" w:line="153" w:lineRule="exact"/>
              <w:rPr>
                <w:sz w:val="20"/>
                <w:szCs w:val="20"/>
                <w:color w:val="auto"/>
              </w:rPr>
            </w:pPr>
            <w:r>
              <w:rPr>
                <w:rFonts w:ascii="Times New Roman" w:cs="Times New Roman" w:eastAsia="Times New Roman" w:hAnsi="Times New Roman"/>
                <w:sz w:val="16"/>
                <w:szCs w:val="16"/>
                <w:b w:val="1"/>
                <w:bCs w:val="1"/>
                <w:color w:val="auto"/>
                <w:w w:val="99"/>
              </w:rPr>
              <w:t>2025</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400"/>
              <w:spacing w:after="0" w:line="153" w:lineRule="exact"/>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jc w:val="right"/>
              <w:ind w:right="380"/>
              <w:spacing w:after="0" w:line="153" w:lineRule="exact"/>
              <w:rPr>
                <w:sz w:val="20"/>
                <w:szCs w:val="20"/>
                <w:color w:val="auto"/>
              </w:rPr>
            </w:pPr>
            <w:r>
              <w:rPr>
                <w:rFonts w:ascii="Times New Roman" w:cs="Times New Roman" w:eastAsia="Times New Roman" w:hAnsi="Times New Roman"/>
                <w:sz w:val="16"/>
                <w:szCs w:val="16"/>
                <w:b w:val="1"/>
                <w:bCs w:val="1"/>
                <w:color w:val="auto"/>
                <w:w w:val="99"/>
              </w:rPr>
              <w:t>2025</w:t>
            </w:r>
          </w:p>
        </w:tc>
      </w:tr>
      <w:tr>
        <w:trPr>
          <w:trHeight w:val="33"/>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5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9"/>
        </w:trPr>
        <w:tc>
          <w:tcPr>
            <w:tcW w:w="5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32.6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(865.1)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(771.9)</w:t>
            </w:r>
          </w:p>
        </w:tc>
      </w:tr>
      <w:tr>
        <w:trPr>
          <w:trHeight w:val="223"/>
        </w:trPr>
        <w:tc>
          <w:tcPr>
            <w:tcW w:w="58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4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w:t>
            </w:r>
          </w:p>
        </w:tc>
      </w:tr>
      <w:tr>
        <w:trPr>
          <w:trHeight w:val="228"/>
        </w:trPr>
        <w:tc>
          <w:tcPr>
            <w:tcW w:w="5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105.8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97.2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303.9</w:t>
            </w:r>
          </w:p>
        </w:tc>
      </w:tr>
      <w:tr>
        <w:trPr>
          <w:trHeight w:val="223"/>
        </w:trPr>
        <w:tc>
          <w:tcPr>
            <w:tcW w:w="58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24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r>
      <w:tr>
        <w:trPr>
          <w:trHeight w:val="228"/>
        </w:trPr>
        <w:tc>
          <w:tcPr>
            <w:tcW w:w="5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unconsolidated affiliates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w:t>
            </w:r>
          </w:p>
        </w:tc>
      </w:tr>
      <w:tr>
        <w:trPr>
          <w:trHeight w:val="223"/>
        </w:trPr>
        <w:tc>
          <w:tcPr>
            <w:tcW w:w="58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Gain on financing arrangement</w:t>
            </w: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(215.1)</w:t>
            </w:r>
          </w:p>
        </w:tc>
      </w:tr>
      <w:tr>
        <w:trPr>
          <w:trHeight w:val="228"/>
        </w:trPr>
        <w:tc>
          <w:tcPr>
            <w:tcW w:w="5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on early extinguishment of debt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r>
      <w:tr>
        <w:trPr>
          <w:trHeight w:val="223"/>
        </w:trPr>
        <w:tc>
          <w:tcPr>
            <w:tcW w:w="58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Other (income) expenses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222"/>
        </w:trPr>
        <w:tc>
          <w:tcPr>
            <w:tcW w:w="5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127.3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(776.4)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(656.1)</w:t>
            </w:r>
          </w:p>
        </w:tc>
      </w:tr>
      <w:tr>
        <w:trPr>
          <w:trHeight w:val="226"/>
        </w:trPr>
        <w:tc>
          <w:tcPr>
            <w:tcW w:w="5880" w:type="dxa"/>
            <w:vAlign w:val="bottom"/>
            <w:gridSpan w:val="3"/>
          </w:tcPr>
          <w:p>
            <w:pPr>
              <w:ind w:left="20"/>
              <w:spacing w:after="0" w:line="226" w:lineRule="exact"/>
              <w:rPr>
                <w:sz w:val="20"/>
                <w:szCs w:val="20"/>
                <w:color w:val="auto"/>
              </w:rPr>
            </w:pPr>
            <w:r>
              <w:rPr>
                <w:rFonts w:ascii="Times New Roman" w:cs="Times New Roman" w:eastAsia="Times New Roman" w:hAnsi="Times New Roman"/>
                <w:sz w:val="16"/>
                <w:szCs w:val="16"/>
                <w:color w:val="auto"/>
              </w:rPr>
              <w:t xml:space="preserve">Stock-based compensation </w:t>
            </w:r>
            <w:r>
              <w:rPr>
                <w:rFonts w:ascii="Times New Roman" w:cs="Times New Roman" w:eastAsia="Times New Roman" w:hAnsi="Times New Roman"/>
                <w:sz w:val="20"/>
                <w:szCs w:val="20"/>
                <w:color w:val="auto"/>
                <w:vertAlign w:val="superscript"/>
              </w:rPr>
              <w:t>(1)</w:t>
            </w:r>
          </w:p>
        </w:tc>
        <w:tc>
          <w:tcPr>
            <w:tcW w:w="24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16.8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w:t>
            </w:r>
          </w:p>
        </w:tc>
      </w:tr>
      <w:tr>
        <w:trPr>
          <w:trHeight w:val="226"/>
        </w:trPr>
        <w:tc>
          <w:tcPr>
            <w:tcW w:w="5880" w:type="dxa"/>
            <w:vAlign w:val="bottom"/>
            <w:gridSpan w:val="3"/>
            <w:shd w:val="clear" w:color="auto" w:fill="CCEEFF"/>
          </w:tcPr>
          <w:p>
            <w:pPr>
              <w:ind w:left="20"/>
              <w:spacing w:after="0" w:line="226" w:lineRule="exact"/>
              <w:rPr>
                <w:sz w:val="20"/>
                <w:szCs w:val="20"/>
                <w:color w:val="auto"/>
              </w:rPr>
            </w:pPr>
            <w:r>
              <w:rPr>
                <w:rFonts w:ascii="Times New Roman" w:cs="Times New Roman" w:eastAsia="Times New Roman" w:hAnsi="Times New Roman"/>
                <w:sz w:val="16"/>
                <w:szCs w:val="16"/>
                <w:color w:val="auto"/>
              </w:rPr>
              <w:t xml:space="preserve">Cash-settled stock-based award variance </w:t>
            </w:r>
            <w:r>
              <w:rPr>
                <w:rFonts w:ascii="Times New Roman" w:cs="Times New Roman" w:eastAsia="Times New Roman" w:hAnsi="Times New Roman"/>
                <w:sz w:val="20"/>
                <w:szCs w:val="20"/>
                <w:color w:val="auto"/>
                <w:vertAlign w:val="superscript"/>
              </w:rPr>
              <w:t>(1)(2)</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r>
      <w:tr>
        <w:trPr>
          <w:trHeight w:val="226"/>
        </w:trPr>
        <w:tc>
          <w:tcPr>
            <w:tcW w:w="5880" w:type="dxa"/>
            <w:vAlign w:val="bottom"/>
            <w:gridSpan w:val="3"/>
          </w:tcPr>
          <w:p>
            <w:pPr>
              <w:ind w:left="20"/>
              <w:spacing w:after="0" w:line="226" w:lineRule="exact"/>
              <w:rPr>
                <w:sz w:val="20"/>
                <w:szCs w:val="20"/>
                <w:color w:val="auto"/>
              </w:rPr>
            </w:pPr>
            <w:r>
              <w:rPr>
                <w:rFonts w:ascii="Times New Roman" w:cs="Times New Roman" w:eastAsia="Times New Roman" w:hAnsi="Times New Roman"/>
                <w:sz w:val="16"/>
                <w:szCs w:val="16"/>
                <w:color w:val="auto"/>
              </w:rPr>
              <w:t xml:space="preserve">Pre-opening expenses </w:t>
            </w:r>
            <w:r>
              <w:rPr>
                <w:rFonts w:ascii="Times New Roman" w:cs="Times New Roman" w:eastAsia="Times New Roman" w:hAnsi="Times New Roman"/>
                <w:sz w:val="20"/>
                <w:szCs w:val="20"/>
                <w:color w:val="auto"/>
                <w:vertAlign w:val="superscript"/>
              </w:rPr>
              <w:t>(1)</w:t>
            </w:r>
          </w:p>
        </w:tc>
        <w:tc>
          <w:tcPr>
            <w:tcW w:w="24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r>
      <w:tr>
        <w:trPr>
          <w:trHeight w:val="226"/>
        </w:trPr>
        <w:tc>
          <w:tcPr>
            <w:tcW w:w="5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123.8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114.2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332.7</w:t>
            </w:r>
          </w:p>
        </w:tc>
      </w:tr>
      <w:tr>
        <w:trPr>
          <w:trHeight w:val="226"/>
        </w:trPr>
        <w:tc>
          <w:tcPr>
            <w:tcW w:w="5880" w:type="dxa"/>
            <w:vAlign w:val="bottom"/>
            <w:gridSpan w:val="3"/>
          </w:tcPr>
          <w:p>
            <w:pPr>
              <w:ind w:left="20"/>
              <w:spacing w:after="0" w:line="226" w:lineRule="exact"/>
              <w:rPr>
                <w:sz w:val="20"/>
                <w:szCs w:val="20"/>
                <w:color w:val="auto"/>
              </w:rPr>
            </w:pPr>
            <w:r>
              <w:rPr>
                <w:rFonts w:ascii="Times New Roman" w:cs="Times New Roman" w:eastAsia="Times New Roman" w:hAnsi="Times New Roman"/>
                <w:sz w:val="16"/>
                <w:szCs w:val="16"/>
                <w:color w:val="auto"/>
              </w:rPr>
              <w:t xml:space="preserve">Impairment losses </w:t>
            </w:r>
            <w:r>
              <w:rPr>
                <w:rFonts w:ascii="Times New Roman" w:cs="Times New Roman" w:eastAsia="Times New Roman" w:hAnsi="Times New Roman"/>
                <w:sz w:val="20"/>
                <w:szCs w:val="20"/>
                <w:color w:val="auto"/>
                <w:vertAlign w:val="superscript"/>
              </w:rPr>
              <w:t>(3)</w:t>
            </w:r>
          </w:p>
        </w:tc>
        <w:tc>
          <w:tcPr>
            <w:tcW w:w="24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825.0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840.0</w:t>
            </w:r>
          </w:p>
        </w:tc>
      </w:tr>
      <w:tr>
        <w:trPr>
          <w:trHeight w:val="226"/>
        </w:trPr>
        <w:tc>
          <w:tcPr>
            <w:tcW w:w="5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unconsolidated affiliates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w:t>
            </w:r>
          </w:p>
        </w:tc>
      </w:tr>
      <w:tr>
        <w:trPr>
          <w:trHeight w:val="226"/>
        </w:trPr>
        <w:tc>
          <w:tcPr>
            <w:tcW w:w="5880" w:type="dxa"/>
            <w:vAlign w:val="bottom"/>
            <w:gridSpan w:val="3"/>
          </w:tcPr>
          <w:p>
            <w:pPr>
              <w:ind w:left="20"/>
              <w:spacing w:after="0" w:line="226" w:lineRule="exact"/>
              <w:rPr>
                <w:sz w:val="20"/>
                <w:szCs w:val="20"/>
                <w:color w:val="auto"/>
              </w:rPr>
            </w:pPr>
            <w:r>
              <w:rPr>
                <w:rFonts w:ascii="Times New Roman" w:cs="Times New Roman" w:eastAsia="Times New Roman" w:hAnsi="Times New Roman"/>
                <w:sz w:val="16"/>
                <w:szCs w:val="16"/>
                <w:color w:val="auto"/>
              </w:rPr>
              <w:t xml:space="preserve">Non-operating items of equity method investments </w:t>
            </w:r>
            <w:r>
              <w:rPr>
                <w:rFonts w:ascii="Times New Roman" w:cs="Times New Roman" w:eastAsia="Times New Roman" w:hAnsi="Times New Roman"/>
                <w:sz w:val="20"/>
                <w:szCs w:val="20"/>
                <w:color w:val="auto"/>
                <w:vertAlign w:val="superscript"/>
              </w:rPr>
              <w:t>(4)</w:t>
            </w:r>
          </w:p>
        </w:tc>
        <w:tc>
          <w:tcPr>
            <w:tcW w:w="24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26"/>
        </w:trPr>
        <w:tc>
          <w:tcPr>
            <w:tcW w:w="5880" w:type="dxa"/>
            <w:vAlign w:val="bottom"/>
            <w:gridSpan w:val="3"/>
            <w:shd w:val="clear" w:color="auto" w:fill="CCEEFF"/>
          </w:tcPr>
          <w:p>
            <w:pPr>
              <w:ind w:left="20"/>
              <w:spacing w:after="0" w:line="226" w:lineRule="exact"/>
              <w:rPr>
                <w:sz w:val="20"/>
                <w:szCs w:val="20"/>
                <w:color w:val="auto"/>
              </w:rPr>
            </w:pPr>
            <w:r>
              <w:rPr>
                <w:rFonts w:ascii="Times New Roman" w:cs="Times New Roman" w:eastAsia="Times New Roman" w:hAnsi="Times New Roman"/>
                <w:sz w:val="26"/>
                <w:szCs w:val="26"/>
                <w:color w:val="auto"/>
                <w:vertAlign w:val="subscript"/>
              </w:rPr>
              <w:t>Other</w:t>
            </w:r>
            <w:r>
              <w:rPr>
                <w:rFonts w:ascii="Times New Roman" w:cs="Times New Roman" w:eastAsia="Times New Roman" w:hAnsi="Times New Roman"/>
                <w:sz w:val="9"/>
                <w:szCs w:val="9"/>
                <w:color w:val="auto"/>
              </w:rPr>
              <w:t xml:space="preserve"> (1)(5)</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9"/>
        </w:trPr>
        <w:tc>
          <w:tcPr>
            <w:tcW w:w="58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Adjusted EBITDA</w:t>
            </w:r>
          </w:p>
        </w:tc>
        <w:tc>
          <w:tcPr>
            <w:tcW w:w="2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284.0</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194.9</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862.4</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604.3</w:t>
            </w: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50" w:lineRule="exact"/>
        <w:rPr>
          <w:sz w:val="20"/>
          <w:szCs w:val="20"/>
          <w:color w:val="auto"/>
        </w:rPr>
      </w:pPr>
    </w:p>
    <w:p>
      <w:pPr>
        <w:ind w:left="640" w:hanging="315"/>
        <w:spacing w:after="0"/>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items are included in “General and administrative” within the unaudited Consolidated Statements of Operations.</w:t>
      </w:r>
    </w:p>
    <w:p>
      <w:pPr>
        <w:spacing w:after="0" w:line="64" w:lineRule="exact"/>
        <w:rPr>
          <w:rFonts w:ascii="Times New Roman" w:cs="Times New Roman" w:eastAsia="Times New Roman" w:hAnsi="Times New Roman"/>
          <w:sz w:val="14"/>
          <w:szCs w:val="14"/>
          <w:color w:val="auto"/>
        </w:rPr>
      </w:pPr>
    </w:p>
    <w:p>
      <w:pPr>
        <w:ind w:left="640" w:right="80" w:hanging="315"/>
        <w:spacing w:after="0" w:line="291" w:lineRule="auto"/>
        <w:tabs>
          <w:tab w:leader="none" w:pos="632"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cash-settled stock-based awards are adjusted to fair value each reporting period based primarily on the price of the Company’s common stock. As such, significant fluctuations in the price of the Company’s common stock during any reporting period could cause significant variances to budget on cash-settled stock-based awards.</w:t>
      </w:r>
    </w:p>
    <w:p>
      <w:pPr>
        <w:spacing w:after="0" w:line="8" w:lineRule="exact"/>
        <w:rPr>
          <w:rFonts w:ascii="Times New Roman" w:cs="Times New Roman" w:eastAsia="Times New Roman" w:hAnsi="Times New Roman"/>
          <w:sz w:val="14"/>
          <w:szCs w:val="14"/>
          <w:color w:val="auto"/>
        </w:rPr>
      </w:pPr>
    </w:p>
    <w:p>
      <w:pPr>
        <w:ind w:left="640" w:right="180" w:hanging="315"/>
        <w:spacing w:after="0" w:line="272" w:lineRule="auto"/>
        <w:tabs>
          <w:tab w:leader="none" w:pos="632"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and nine months ended September 30, 2026, impairment charges included $8.0 million in the South segment. For the three months ended September 30, 2025, impairment charges included $825.0 million in the Interactive segment. For the nine months ended September 30, 2025, impairment charges also included $15.0 million in the Midwest segment.</w:t>
      </w:r>
    </w:p>
    <w:p>
      <w:pPr>
        <w:spacing w:after="0" w:line="20" w:lineRule="exact"/>
        <w:rPr>
          <w:rFonts w:ascii="Times New Roman" w:cs="Times New Roman" w:eastAsia="Times New Roman" w:hAnsi="Times New Roman"/>
          <w:sz w:val="14"/>
          <w:szCs w:val="14"/>
          <w:color w:val="auto"/>
        </w:rPr>
      </w:pPr>
    </w:p>
    <w:p>
      <w:pPr>
        <w:ind w:left="640" w:hanging="315"/>
        <w:spacing w:after="0"/>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primarily of depreciation expense associated with our Kansas Entertainment joint venture.</w:t>
      </w:r>
    </w:p>
    <w:p>
      <w:pPr>
        <w:spacing w:after="0" w:line="64" w:lineRule="exact"/>
        <w:rPr>
          <w:rFonts w:ascii="Times New Roman" w:cs="Times New Roman" w:eastAsia="Times New Roman" w:hAnsi="Times New Roman"/>
          <w:sz w:val="14"/>
          <w:szCs w:val="14"/>
          <w:color w:val="auto"/>
        </w:rPr>
      </w:pPr>
    </w:p>
    <w:p>
      <w:pPr>
        <w:ind w:left="640" w:right="280" w:hanging="315"/>
        <w:spacing w:after="0" w:line="274" w:lineRule="auto"/>
        <w:tabs>
          <w:tab w:leader="none" w:pos="632"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nine months ended September 30, 2026, other primarily consisted of transaction costs, non-recurring restructuring charges, primarily severance, related to the Company’s new corporate organizational structure, and settlement costs and related legal and advisory fees associated with the Cooperation Agreement with HG Vora Capital Management, LLC and related parties.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179705</wp:posOffset>
            </wp:positionV>
            <wp:extent cx="716026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93" w:lineRule="exact"/>
        <w:rPr>
          <w:sz w:val="20"/>
          <w:szCs w:val="20"/>
          <w:color w:val="auto"/>
        </w:rPr>
      </w:pPr>
    </w:p>
    <w:p>
      <w:pPr>
        <w:ind w:right="60" w:firstLine="319"/>
        <w:spacing w:after="0" w:line="253" w:lineRule="auto"/>
        <w:rPr>
          <w:sz w:val="20"/>
          <w:szCs w:val="20"/>
          <w:color w:val="auto"/>
        </w:rPr>
      </w:pPr>
      <w:r>
        <w:rPr>
          <w:rFonts w:ascii="Times New Roman" w:cs="Times New Roman" w:eastAsia="Times New Roman" w:hAnsi="Times New Roman"/>
          <w:sz w:val="18"/>
          <w:szCs w:val="18"/>
          <w:color w:val="auto"/>
        </w:rPr>
        <w:t>Our primary sources of liquidity and capital resources have been and are expected to be cash flow from operations, borrowings from banks, and proceeds from the issuance of debt and equity securities. Our ongoing liquidity will depend on a number of factors, including available cash resources, cash flow from operations, acquisitions or investments, funding of construction for development projects, and our compliance with covenants contained under our debt agreements. We currently believe that our operating cash flow and other sources of liquidity, as described herein, will be sufficient to meet our liquidity needs on a short and long-term basis.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6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For the nine months ended</w:t>
            </w: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6"/>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6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360" w:type="dxa"/>
            <w:vAlign w:val="bottom"/>
          </w:tcPr>
          <w:p>
            <w:pPr>
              <w:spacing w:after="0"/>
              <w:rPr>
                <w:sz w:val="20"/>
                <w:szCs w:val="20"/>
                <w:color w:val="auto"/>
              </w:rPr>
            </w:pPr>
          </w:p>
        </w:tc>
        <w:tc>
          <w:tcPr>
            <w:tcW w:w="1480" w:type="dxa"/>
            <w:vAlign w:val="bottom"/>
            <w:gridSpan w:val="3"/>
          </w:tcPr>
          <w:p>
            <w:pPr>
              <w:ind w:left="7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60" w:type="dxa"/>
            <w:vAlign w:val="bottom"/>
          </w:tcPr>
          <w:p>
            <w:pPr>
              <w:spacing w:after="0"/>
              <w:rPr>
                <w:sz w:val="20"/>
                <w:szCs w:val="20"/>
                <w:color w:val="auto"/>
              </w:rPr>
            </w:pPr>
          </w:p>
        </w:tc>
      </w:tr>
      <w:tr>
        <w:trPr>
          <w:trHeight w:val="182"/>
        </w:trPr>
        <w:tc>
          <w:tcPr>
            <w:tcW w:w="56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371"/>
              <w:spacing w:after="0" w:line="166" w:lineRule="exact"/>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371"/>
              <w:spacing w:after="0" w:line="166" w:lineRule="exact"/>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515"/>
              <w:spacing w:after="0" w:line="166" w:lineRule="exact"/>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534"/>
              <w:spacing w:after="0" w:line="166" w:lineRule="exact"/>
              <w:rPr>
                <w:sz w:val="20"/>
                <w:szCs w:val="20"/>
                <w:color w:val="auto"/>
              </w:rPr>
            </w:pPr>
            <w:r>
              <w:rPr>
                <w:rFonts w:ascii="Times New Roman" w:cs="Times New Roman" w:eastAsia="Times New Roman" w:hAnsi="Times New Roman"/>
                <w:sz w:val="16"/>
                <w:szCs w:val="16"/>
                <w:b w:val="1"/>
                <w:bCs w:val="1"/>
                <w:color w:val="auto"/>
              </w:rPr>
              <w:t>%</w:t>
            </w:r>
          </w:p>
        </w:tc>
      </w:tr>
      <w:tr>
        <w:trPr>
          <w:trHeight w:val="33"/>
        </w:trPr>
        <w:tc>
          <w:tcPr>
            <w:tcW w:w="20" w:type="dxa"/>
            <w:vAlign w:val="bottom"/>
            <w:tcBorders>
              <w:bottom w:val="single" w:sz="8" w:color="CCEEFF"/>
            </w:tcBorders>
          </w:tcPr>
          <w:p>
            <w:pPr>
              <w:spacing w:after="0"/>
              <w:rPr>
                <w:sz w:val="2"/>
                <w:szCs w:val="2"/>
                <w:color w:val="auto"/>
              </w:rPr>
            </w:pPr>
          </w:p>
        </w:tc>
        <w:tc>
          <w:tcPr>
            <w:tcW w:w="1160" w:type="dxa"/>
            <w:vAlign w:val="bottom"/>
            <w:tcBorders>
              <w:top w:val="single" w:sz="8" w:color="auto"/>
              <w:bottom w:val="single" w:sz="8" w:color="CCEEFF"/>
            </w:tcBorders>
          </w:tcPr>
          <w:p>
            <w:pPr>
              <w:spacing w:after="0"/>
              <w:rPr>
                <w:sz w:val="2"/>
                <w:szCs w:val="2"/>
                <w:color w:val="auto"/>
              </w:rPr>
            </w:pPr>
          </w:p>
        </w:tc>
        <w:tc>
          <w:tcPr>
            <w:tcW w:w="4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2"/>
        </w:trPr>
        <w:tc>
          <w:tcPr>
            <w:tcW w:w="5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center"/>
              <w:ind w:left="351"/>
              <w:spacing w:after="0"/>
              <w:rPr>
                <w:sz w:val="20"/>
                <w:szCs w:val="20"/>
                <w:color w:val="auto"/>
              </w:rPr>
            </w:pPr>
            <w:r>
              <w:rPr>
                <w:rFonts w:ascii="Times New Roman" w:cs="Times New Roman" w:eastAsia="Times New Roman" w:hAnsi="Times New Roman"/>
                <w:sz w:val="18"/>
                <w:szCs w:val="18"/>
                <w:color w:val="auto"/>
                <w:w w:val="98"/>
              </w:rPr>
              <w:t>401.0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center"/>
              <w:ind w:left="275"/>
              <w:spacing w:after="0"/>
              <w:rPr>
                <w:sz w:val="20"/>
                <w:szCs w:val="20"/>
                <w:color w:val="auto"/>
              </w:rPr>
            </w:pPr>
            <w:r>
              <w:rPr>
                <w:rFonts w:ascii="Times New Roman" w:cs="Times New Roman" w:eastAsia="Times New Roman" w:hAnsi="Times New Roman"/>
                <w:sz w:val="18"/>
                <w:szCs w:val="18"/>
                <w:color w:val="auto"/>
                <w:w w:val="98"/>
              </w:rPr>
              <w:t>225.4</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56.2 %</w:t>
            </w:r>
          </w:p>
        </w:tc>
      </w:tr>
      <w:tr>
        <w:trPr>
          <w:trHeight w:val="239"/>
        </w:trPr>
        <w:tc>
          <w:tcPr>
            <w:tcW w:w="5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20"/>
                <w:szCs w:val="20"/>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center"/>
              <w:ind w:left="331"/>
              <w:spacing w:after="0"/>
              <w:rPr>
                <w:sz w:val="20"/>
                <w:szCs w:val="20"/>
                <w:color w:val="auto"/>
              </w:rPr>
            </w:pPr>
            <w:r>
              <w:rPr>
                <w:rFonts w:ascii="Times New Roman" w:cs="Times New Roman" w:eastAsia="Times New Roman" w:hAnsi="Times New Roman"/>
                <w:sz w:val="18"/>
                <w:szCs w:val="18"/>
                <w:color w:val="auto"/>
                <w:w w:val="95"/>
              </w:rPr>
              <w:t>(303.3)</w:t>
            </w:r>
          </w:p>
        </w:tc>
        <w:tc>
          <w:tcPr>
            <w:tcW w:w="100" w:type="dxa"/>
            <w:vAlign w:val="bottom"/>
          </w:tcPr>
          <w:p>
            <w:pPr>
              <w:spacing w:after="0"/>
              <w:rPr>
                <w:sz w:val="20"/>
                <w:szCs w:val="20"/>
                <w:color w:val="auto"/>
              </w:rPr>
            </w:pP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center"/>
              <w:ind w:left="275"/>
              <w:spacing w:after="0"/>
              <w:rPr>
                <w:sz w:val="20"/>
                <w:szCs w:val="20"/>
                <w:color w:val="auto"/>
              </w:rPr>
            </w:pPr>
            <w:r>
              <w:rPr>
                <w:rFonts w:ascii="Times New Roman" w:cs="Times New Roman" w:eastAsia="Times New Roman" w:hAnsi="Times New Roman"/>
                <w:sz w:val="18"/>
                <w:szCs w:val="18"/>
                <w:color w:val="auto"/>
                <w:w w:val="98"/>
              </w:rPr>
              <w:t>269.9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w:t>
            </w:r>
          </w:p>
        </w:tc>
      </w:tr>
      <w:tr>
        <w:trPr>
          <w:trHeight w:val="239"/>
        </w:trPr>
        <w:tc>
          <w:tcPr>
            <w:tcW w:w="5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center"/>
              <w:ind w:left="331"/>
              <w:spacing w:after="0"/>
              <w:rPr>
                <w:sz w:val="20"/>
                <w:szCs w:val="20"/>
                <w:color w:val="auto"/>
              </w:rPr>
            </w:pPr>
            <w:r>
              <w:rPr>
                <w:rFonts w:ascii="Times New Roman" w:cs="Times New Roman" w:eastAsia="Times New Roman" w:hAnsi="Times New Roman"/>
                <w:sz w:val="18"/>
                <w:szCs w:val="18"/>
                <w:color w:val="auto"/>
                <w:w w:val="95"/>
              </w:rPr>
              <w:t>(129.0)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center"/>
              <w:ind w:left="255"/>
              <w:spacing w:after="0"/>
              <w:rPr>
                <w:sz w:val="20"/>
                <w:szCs w:val="20"/>
                <w:color w:val="auto"/>
              </w:rPr>
            </w:pPr>
            <w:r>
              <w:rPr>
                <w:rFonts w:ascii="Times New Roman" w:cs="Times New Roman" w:eastAsia="Times New Roman" w:hAnsi="Times New Roman"/>
                <w:sz w:val="18"/>
                <w:szCs w:val="18"/>
                <w:color w:val="auto"/>
                <w:w w:val="95"/>
              </w:rPr>
              <w:t>(102.7)</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79.6 %</w:t>
            </w: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Cash Flow</w:t>
      </w:r>
    </w:p>
    <w:p>
      <w:pPr>
        <w:spacing w:after="0" w:line="182" w:lineRule="exact"/>
        <w:rPr>
          <w:sz w:val="20"/>
          <w:szCs w:val="20"/>
          <w:color w:val="auto"/>
        </w:rPr>
      </w:pPr>
    </w:p>
    <w:p>
      <w:pPr>
        <w:ind w:right="140" w:firstLine="319"/>
        <w:spacing w:after="0" w:line="252" w:lineRule="auto"/>
        <w:rPr>
          <w:sz w:val="20"/>
          <w:szCs w:val="20"/>
          <w:color w:val="auto"/>
        </w:rPr>
      </w:pPr>
      <w:r>
        <w:rPr>
          <w:rFonts w:ascii="Times New Roman" w:cs="Times New Roman" w:eastAsia="Times New Roman" w:hAnsi="Times New Roman"/>
          <w:sz w:val="18"/>
          <w:szCs w:val="18"/>
          <w:color w:val="auto"/>
        </w:rPr>
        <w:t xml:space="preserve">Trends in our operating cash flows tend to follow trends in operating income, excluding non-cash charges, but can be affected by changes in working capital, the timing of significant interest payments, tax payments or refunds, and distributions from unconsolidated affiliates. Net cash provided by operating activities increased by $225.4 million for the nine months ended September 30, 2026, primarily due to increased earnings from our retail and Interactive reportable segments. Additionally, operating cash flows benefited from favorable working capital changes driven by the timing of deposits, as well as the reversal of previously recognized tax liabilities following the favorable resolution of the Indiana tax matter, discussed further within the </w:t>
      </w:r>
      <w:r>
        <w:rPr>
          <w:rFonts w:ascii="Times New Roman" w:cs="Times New Roman" w:eastAsia="Times New Roman" w:hAnsi="Times New Roman"/>
          <w:sz w:val="18"/>
          <w:szCs w:val="18"/>
          <w:u w:val="single" w:color="auto"/>
          <w:color w:val="0000FF"/>
        </w:rPr>
        <w:t>“Consolidated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Comparison of the Three and Nine Months Ended September 30, 2026 and 2025”</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section above.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Cash Flow</w:t>
      </w:r>
    </w:p>
    <w:p>
      <w:pPr>
        <w:spacing w:after="0" w:line="182" w:lineRule="exact"/>
        <w:rPr>
          <w:sz w:val="20"/>
          <w:szCs w:val="20"/>
          <w:color w:val="auto"/>
        </w:rPr>
      </w:pPr>
    </w:p>
    <w:p>
      <w:pPr>
        <w:ind w:right="60" w:firstLine="319"/>
        <w:spacing w:after="0" w:line="253" w:lineRule="auto"/>
        <w:rPr>
          <w:sz w:val="20"/>
          <w:szCs w:val="20"/>
          <w:color w:val="auto"/>
        </w:rPr>
      </w:pPr>
      <w:r>
        <w:rPr>
          <w:rFonts w:ascii="Times New Roman" w:cs="Times New Roman" w:eastAsia="Times New Roman" w:hAnsi="Times New Roman"/>
          <w:sz w:val="18"/>
          <w:szCs w:val="18"/>
          <w:color w:val="auto"/>
        </w:rPr>
        <w:t>Cash used in investing activities during the nine months ended September 30, 2026 was $33.4 million, primarily related to capital expenditures of $251.2 million, offset by proceeds of $216.3 million from the sale-and-lease back of real estate assets for the new Aurora facility (representing GLPI’s full $225.0 million commitment less costs incurred by GLPI with respect to certain land parcels associated with the Aurora Project). Cash used in investing activities during the nine months ended September 30, 2025 was $303.3 million and primarily related to capital expenditures of $457.3 million, offset by the receipt of the full $130.0 million in committed funding from GLPI for the sale-and-lease back of real estate assets of the new Joliet facility.</w:t>
      </w:r>
    </w:p>
    <w:p>
      <w:pPr>
        <w:spacing w:after="0" w:line="1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193" w:lineRule="exact"/>
        <w:rPr>
          <w:sz w:val="20"/>
          <w:szCs w:val="20"/>
          <w:color w:val="auto"/>
        </w:rPr>
      </w:pPr>
    </w:p>
    <w:p>
      <w:pPr>
        <w:ind w:right="180" w:firstLine="319"/>
        <w:spacing w:after="0" w:line="255" w:lineRule="auto"/>
        <w:rPr>
          <w:sz w:val="20"/>
          <w:szCs w:val="20"/>
          <w:color w:val="auto"/>
        </w:rPr>
      </w:pPr>
      <w:r>
        <w:rPr>
          <w:rFonts w:ascii="Times New Roman" w:cs="Times New Roman" w:eastAsia="Times New Roman" w:hAnsi="Times New Roman"/>
          <w:sz w:val="18"/>
          <w:szCs w:val="18"/>
          <w:color w:val="auto"/>
        </w:rPr>
        <w:t>Capital expenditures are accounted for as either project capital (new facilities or expansions) or maintenance capital (replacement) which is inclusive of projects such as investment in casino enhancements, non-gaming amenities and technology. Cash provided by operating activities, as well as cash available under our Amended Revolving Credit Facility, was available to fund our capital expenditures for the nine months ended September 30, 2026 and 2025, as applicable.</w:t>
      </w:r>
    </w:p>
    <w:p>
      <w:pPr>
        <w:spacing w:after="0" w:line="143" w:lineRule="exact"/>
        <w:rPr>
          <w:sz w:val="20"/>
          <w:szCs w:val="20"/>
          <w:color w:val="auto"/>
        </w:rPr>
      </w:pPr>
    </w:p>
    <w:p>
      <w:pPr>
        <w:ind w:right="40" w:firstLine="319"/>
        <w:spacing w:after="0" w:line="255" w:lineRule="auto"/>
        <w:rPr>
          <w:sz w:val="20"/>
          <w:szCs w:val="20"/>
          <w:color w:val="auto"/>
        </w:rPr>
      </w:pPr>
      <w:r>
        <w:rPr>
          <w:rFonts w:ascii="Times New Roman" w:cs="Times New Roman" w:eastAsia="Times New Roman" w:hAnsi="Times New Roman"/>
          <w:sz w:val="18"/>
          <w:szCs w:val="18"/>
          <w:color w:val="auto"/>
        </w:rPr>
        <w:t>For the year ending December 31, 2026, we anticipate maintenance and project capital expenditures of approximately $220.0 million and $170.0 million, respectively, of which $111.5 million and $139.7 million, respectively, were incurred during the nine months ended September 30, 2026. Anticipated maintenance capital expenditures include amounts required under our Triple Net Leases, which require us to spend a specified percentage of total revenues on capital expenditures.</w:t>
      </w:r>
    </w:p>
    <w:p>
      <w:pPr>
        <w:spacing w:after="0" w:line="143" w:lineRule="exact"/>
        <w:rPr>
          <w:sz w:val="20"/>
          <w:szCs w:val="20"/>
          <w:color w:val="auto"/>
        </w:rPr>
      </w:pPr>
    </w:p>
    <w:p>
      <w:pPr>
        <w:ind w:right="140" w:firstLine="319"/>
        <w:spacing w:after="0" w:line="251" w:lineRule="auto"/>
        <w:rPr>
          <w:sz w:val="20"/>
          <w:szCs w:val="20"/>
          <w:color w:val="auto"/>
        </w:rPr>
      </w:pPr>
      <w:r>
        <w:rPr>
          <w:rFonts w:ascii="Times New Roman" w:cs="Times New Roman" w:eastAsia="Times New Roman" w:hAnsi="Times New Roman"/>
          <w:sz w:val="18"/>
          <w:szCs w:val="18"/>
          <w:color w:val="auto"/>
        </w:rPr>
        <w:t xml:space="preserve">Project capital expenditures primarily relate to the Company’s development projects, including the PENN Development Projects pursuant to our Master Development Agreement with GLPI, as further defined and described in </w:t>
      </w:r>
      <w:r>
        <w:rPr>
          <w:rFonts w:ascii="Times New Roman" w:cs="Times New Roman" w:eastAsia="Times New Roman" w:hAnsi="Times New Roman"/>
          <w:sz w:val="18"/>
          <w:szCs w:val="18"/>
          <w:u w:val="single" w:color="auto"/>
          <w:color w:val="0000FF"/>
        </w:rPr>
        <w:t>Note 6, “Leases”</w:t>
      </w:r>
      <w:r>
        <w:rPr>
          <w:rFonts w:ascii="Times New Roman" w:cs="Times New Roman" w:eastAsia="Times New Roman" w:hAnsi="Times New Roman"/>
          <w:sz w:val="18"/>
          <w:szCs w:val="18"/>
          <w:color w:val="auto"/>
        </w:rPr>
        <w:t xml:space="preserve"> to the unaudited Consolidated Financial Statements. GLPI committed to fund up to $225.0 million for the Aurora Project and, upon PENN’s request, up to $350.0 million in aggregate for the Joliet, M Resort, and Columbus Projects, subject to the terms and conditions of the Master Development Agreement. GLPI provided the full committed funding of $130.0 million and $150.0 million for the Joliet and M Resort Projects, respectively, during 2025. In June 2026, GLPI provided $216.3 million in funding for the Aurora Project, representing its full $225.0 million commitment less costs incurred by GLPI with respect to certain land parcels associated with the Aurora Project. We did not request or receive any funding related to the Columbus Project.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187960</wp:posOffset>
            </wp:positionV>
            <wp:extent cx="716026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Cash Flow</w:t>
      </w:r>
    </w:p>
    <w:p>
      <w:pPr>
        <w:spacing w:after="0" w:line="195" w:lineRule="exact"/>
        <w:rPr>
          <w:sz w:val="20"/>
          <w:szCs w:val="20"/>
          <w:color w:val="auto"/>
        </w:rPr>
      </w:pPr>
    </w:p>
    <w:p>
      <w:pPr>
        <w:ind w:right="60" w:firstLine="319"/>
        <w:spacing w:after="0" w:line="275" w:lineRule="auto"/>
        <w:rPr>
          <w:sz w:val="20"/>
          <w:szCs w:val="20"/>
          <w:color w:val="auto"/>
        </w:rPr>
      </w:pPr>
      <w:r>
        <w:rPr>
          <w:rFonts w:ascii="Times New Roman" w:cs="Times New Roman" w:eastAsia="Times New Roman" w:hAnsi="Times New Roman"/>
          <w:sz w:val="17"/>
          <w:szCs w:val="17"/>
          <w:color w:val="auto"/>
        </w:rPr>
        <w:t>For the nine months ended September 30, 2026, net cash used in financing activities totaled $231.7 million, primarily related to repayments on our credit facilities of $1.4 billion, net payments of $570.0 million on our revolving credit facility, repayment of $106.7 million of our Convertible Notes, principal payments of $75.1 million on our finance leases and financing obligations, $26.2 million in payments on insurance financing, as well as $20.0 million in principal payments on long-term debt, offset by proceeds from issuance of term loans of $1.4 billion and proceeds from issuance of bonds of $600.0 million.</w:t>
      </w:r>
    </w:p>
    <w:p>
      <w:pPr>
        <w:spacing w:after="0" w:line="127" w:lineRule="exact"/>
        <w:rPr>
          <w:sz w:val="20"/>
          <w:szCs w:val="20"/>
          <w:color w:val="auto"/>
        </w:rPr>
      </w:pPr>
    </w:p>
    <w:p>
      <w:pPr>
        <w:ind w:right="100" w:firstLine="319"/>
        <w:spacing w:after="0" w:line="255" w:lineRule="auto"/>
        <w:rPr>
          <w:sz w:val="20"/>
          <w:szCs w:val="20"/>
          <w:color w:val="auto"/>
        </w:rPr>
      </w:pPr>
      <w:r>
        <w:rPr>
          <w:rFonts w:ascii="Times New Roman" w:cs="Times New Roman" w:eastAsia="Times New Roman" w:hAnsi="Times New Roman"/>
          <w:sz w:val="18"/>
          <w:szCs w:val="18"/>
          <w:color w:val="auto"/>
        </w:rPr>
        <w:t>For the nine months ended September 30, 2025, net cash used in financing activities totaled $129.0 million, primarily related to repurchases of $223.8 million of our Convertible Notes, repurchases of $269.4 million of our common stock, principal payments of $72.2 million on our finance leases and finance obligations, $27.1 million in payments on insurance financing, as well as $28.2 million in principal payments on long-term debt, partially offset by net proceeds from our revolving credit facility of $510.0 million.</w:t>
      </w:r>
    </w:p>
    <w:p>
      <w:pPr>
        <w:spacing w:after="0" w:line="1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Debt Issuance and Other Long-Term Obligations</w:t>
      </w:r>
    </w:p>
    <w:p>
      <w:pPr>
        <w:spacing w:after="0" w:line="193" w:lineRule="exact"/>
        <w:rPr>
          <w:sz w:val="20"/>
          <w:szCs w:val="20"/>
          <w:color w:val="auto"/>
        </w:rPr>
      </w:pPr>
    </w:p>
    <w:p>
      <w:pPr>
        <w:ind w:right="80" w:firstLine="319"/>
        <w:spacing w:after="0" w:line="253" w:lineRule="auto"/>
        <w:rPr>
          <w:sz w:val="20"/>
          <w:szCs w:val="20"/>
          <w:color w:val="auto"/>
        </w:rPr>
      </w:pPr>
      <w:r>
        <w:rPr>
          <w:rFonts w:ascii="Times New Roman" w:cs="Times New Roman" w:eastAsia="Times New Roman" w:hAnsi="Times New Roman"/>
          <w:sz w:val="18"/>
          <w:szCs w:val="18"/>
          <w:color w:val="auto"/>
        </w:rPr>
        <w:t>As of September 30, 2026, we had $2.8 billion in aggregate principal amount of indebtedness, including $1.4 billion outstanding under our Amended Credit Facilities, $400.0 million outstanding under our 5.625% Notes, $400.0 million outstanding under our 4.125% Notes, $600.0 million outstanding under our 6.75% Notes, and $7.8 million outstanding in other long-term obligations. As of September 30, 2026, the Company had conditional obligations under letters of credit issued pursuant to the Amended Credit Facilities with face amounts aggregating to $23.9 million, resulting in $976.1 million of available borrowing capacity under the Amended Revolving Credit Facility.</w:t>
      </w:r>
    </w:p>
    <w:p>
      <w:pPr>
        <w:spacing w:after="0" w:line="144" w:lineRule="exact"/>
        <w:rPr>
          <w:sz w:val="20"/>
          <w:szCs w:val="20"/>
          <w:color w:val="auto"/>
        </w:rPr>
      </w:pPr>
    </w:p>
    <w:p>
      <w:pPr>
        <w:ind w:right="20" w:firstLine="319"/>
        <w:spacing w:after="0" w:line="275" w:lineRule="auto"/>
        <w:rPr>
          <w:sz w:val="20"/>
          <w:szCs w:val="20"/>
          <w:color w:val="auto"/>
        </w:rPr>
      </w:pPr>
      <w:r>
        <w:rPr>
          <w:rFonts w:ascii="Times New Roman" w:cs="Times New Roman" w:eastAsia="Times New Roman" w:hAnsi="Times New Roman"/>
          <w:sz w:val="18"/>
          <w:szCs w:val="18"/>
          <w:color w:val="auto"/>
        </w:rPr>
        <w:t xml:space="preserve">See definitions for (i) Amended Credit Facilities; (ii) 5.625% Notes; (iii) 4.125% Notes; (iv) 6.75% Notes; and (v) Amended Revolving Credit Facility in </w:t>
      </w:r>
      <w:r>
        <w:rPr>
          <w:rFonts w:ascii="Times New Roman" w:cs="Times New Roman" w:eastAsia="Times New Roman" w:hAnsi="Times New Roman"/>
          <w:sz w:val="18"/>
          <w:szCs w:val="18"/>
          <w:u w:val="single" w:color="auto"/>
          <w:color w:val="0000FF"/>
        </w:rPr>
        <w:t>Note 5, “Long-Term Debt”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 the notes to the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1218565</wp:posOffset>
            </wp:positionH>
            <wp:positionV relativeFrom="paragraph">
              <wp:posOffset>-153670</wp:posOffset>
            </wp:positionV>
            <wp:extent cx="2917825" cy="1263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917825" cy="126365"/>
                    </a:xfrm>
                    <a:prstGeom prst="rect">
                      <a:avLst/>
                    </a:prstGeom>
                    <a:noFill/>
                  </pic:spPr>
                </pic:pic>
              </a:graphicData>
            </a:graphic>
          </wp:anchor>
        </w:drawing>
      </w:r>
    </w:p>
    <w:p>
      <w:pPr>
        <w:spacing w:after="0" w:line="103" w:lineRule="exact"/>
        <w:rPr>
          <w:sz w:val="20"/>
          <w:szCs w:val="20"/>
          <w:color w:val="auto"/>
        </w:rPr>
      </w:pPr>
    </w:p>
    <w:p>
      <w:pPr>
        <w:jc w:val="both"/>
        <w:ind w:right="60" w:firstLine="319"/>
        <w:spacing w:after="0" w:line="255" w:lineRule="auto"/>
        <w:rPr>
          <w:sz w:val="20"/>
          <w:szCs w:val="20"/>
          <w:color w:val="auto"/>
        </w:rPr>
      </w:pPr>
      <w:r>
        <w:rPr>
          <w:rFonts w:ascii="Times New Roman" w:cs="Times New Roman" w:eastAsia="Times New Roman" w:hAnsi="Times New Roman"/>
          <w:sz w:val="18"/>
          <w:szCs w:val="18"/>
          <w:color w:val="auto"/>
        </w:rPr>
        <w:t>On March 16, 2026, the Company completed an offering of $600.0 million aggregate principal amount of 6.75% senior unsecured notes that mature on April 1, 2031. The 6.75% Notes were issued at par and interest is payable semi-annually on April 1st and October 1st of each year. The 6.75% Notes are not guaranteed by any of the Company’s subsidiaries except in the event that the Company, in the future, issues certain subsidiary-guaranteed debt securities. Net proceeds of the 6.75% Notes were used to repay borrowings under the Amended Revolving Credit Facility.</w:t>
      </w:r>
    </w:p>
    <w:p>
      <w:pPr>
        <w:spacing w:after="0" w:line="156" w:lineRule="exact"/>
        <w:rPr>
          <w:sz w:val="20"/>
          <w:szCs w:val="20"/>
          <w:color w:val="auto"/>
        </w:rPr>
      </w:pPr>
    </w:p>
    <w:p>
      <w:pPr>
        <w:ind w:firstLine="319"/>
        <w:spacing w:after="0" w:line="251" w:lineRule="auto"/>
        <w:rPr>
          <w:sz w:val="20"/>
          <w:szCs w:val="20"/>
          <w:color w:val="auto"/>
        </w:rPr>
      </w:pPr>
      <w:r>
        <w:rPr>
          <w:rFonts w:ascii="Times New Roman" w:cs="Times New Roman" w:eastAsia="Times New Roman" w:hAnsi="Times New Roman"/>
          <w:sz w:val="18"/>
          <w:szCs w:val="18"/>
          <w:color w:val="auto"/>
        </w:rPr>
        <w:t xml:space="preserve">On April 16, 2026, PENN entered into a Third Amendment (the “Third Amendment Agreement”) to its Second Amended and Restated Credit Agreement (as defined in </w:t>
      </w:r>
      <w:r>
        <w:rPr>
          <w:rFonts w:ascii="Times New Roman" w:cs="Times New Roman" w:eastAsia="Times New Roman" w:hAnsi="Times New Roman"/>
          <w:sz w:val="18"/>
          <w:szCs w:val="18"/>
          <w:u w:val="single" w:color="auto"/>
          <w:color w:val="0000FF"/>
        </w:rPr>
        <w:t>Note 5, “Long-Term Debt”</w:t>
      </w:r>
      <w:r>
        <w:rPr>
          <w:rFonts w:ascii="Times New Roman" w:cs="Times New Roman" w:eastAsia="Times New Roman" w:hAnsi="Times New Roman"/>
          <w:sz w:val="18"/>
          <w:szCs w:val="18"/>
          <w:color w:val="auto"/>
        </w:rPr>
        <w:t xml:space="preserve"> in the notes to the unaudited Consolidated Financial Statements). The Third Amendment Agreement, among other things, refinanced and extended the term of the Company’s $1.0 billion Amended Revolving Credit Facility and $446.9 million Amended Term Loan A Facility. The Amended Revolving Credit Facility and Amended Term Loan A Facility will mature in April 2031. The interest rate margins applicable to the Amended Revolving Credit Facility and Amended Term Loan A Facility were unchanged by the Third Amendment Agreement, except that the Third Amendment Agreement eliminated the credit spread adjustment applicable to SOFR borrowings under the Amended Revolving Credit Facility and Amended Term Loan A Facility.</w:t>
      </w:r>
    </w:p>
    <w:p>
      <w:pPr>
        <w:spacing w:after="0" w:line="145" w:lineRule="exact"/>
        <w:rPr>
          <w:sz w:val="20"/>
          <w:szCs w:val="20"/>
          <w:color w:val="auto"/>
        </w:rPr>
      </w:pPr>
    </w:p>
    <w:p>
      <w:pPr>
        <w:ind w:right="40" w:firstLine="319"/>
        <w:spacing w:after="0" w:line="255" w:lineRule="auto"/>
        <w:rPr>
          <w:sz w:val="20"/>
          <w:szCs w:val="20"/>
          <w:color w:val="auto"/>
        </w:rPr>
      </w:pPr>
      <w:r>
        <w:rPr>
          <w:rFonts w:ascii="Times New Roman" w:cs="Times New Roman" w:eastAsia="Times New Roman" w:hAnsi="Times New Roman"/>
          <w:sz w:val="18"/>
          <w:szCs w:val="18"/>
          <w:color w:val="auto"/>
        </w:rPr>
        <w:t xml:space="preserve">On May 28, 2026, PENN entered into a Fourth Amendment (the “Fourth Amendment Agreement”) to its Second Amended and Restated Credit Agreement (as defined in </w:t>
      </w:r>
      <w:r>
        <w:rPr>
          <w:rFonts w:ascii="Times New Roman" w:cs="Times New Roman" w:eastAsia="Times New Roman" w:hAnsi="Times New Roman"/>
          <w:sz w:val="18"/>
          <w:szCs w:val="18"/>
          <w:u w:val="single" w:color="auto"/>
          <w:color w:val="0000FF"/>
        </w:rPr>
        <w:t>Note 5, “Long-Term Debt”</w:t>
      </w:r>
      <w:r>
        <w:rPr>
          <w:rFonts w:ascii="Times New Roman" w:cs="Times New Roman" w:eastAsia="Times New Roman" w:hAnsi="Times New Roman"/>
          <w:sz w:val="18"/>
          <w:szCs w:val="18"/>
          <w:color w:val="auto"/>
        </w:rPr>
        <w:t xml:space="preserve"> in the notes to the unaudited Consolidated Financial Statements) with its various lenders, which reduced the interest rate margins applicable to the Company’s $962.5 million in existing Amended Term Loan B Facility loans from 2.50% to 2.00% for Term SOFR loans and from 1.50% to 1.00% for base rate loans, and extended the maturity date of such loans to May 2033.</w:t>
      </w:r>
    </w:p>
    <w:p>
      <w:pPr>
        <w:spacing w:after="0" w:line="143" w:lineRule="exact"/>
        <w:rPr>
          <w:sz w:val="20"/>
          <w:szCs w:val="20"/>
          <w:color w:val="auto"/>
        </w:rPr>
      </w:pPr>
    </w:p>
    <w:p>
      <w:pPr>
        <w:ind w:right="20" w:firstLine="319"/>
        <w:spacing w:after="0" w:line="275" w:lineRule="auto"/>
        <w:rPr>
          <w:sz w:val="20"/>
          <w:szCs w:val="20"/>
          <w:color w:val="auto"/>
        </w:rPr>
      </w:pPr>
      <w:r>
        <w:rPr>
          <w:rFonts w:ascii="Times New Roman" w:cs="Times New Roman" w:eastAsia="Times New Roman" w:hAnsi="Times New Roman"/>
          <w:sz w:val="18"/>
          <w:szCs w:val="18"/>
          <w:color w:val="auto"/>
        </w:rPr>
        <w:t>In May 2026, the Company repaid the remaining $106.7 million principal balance of the Convertible Notes. As of September 30, 2026, the Company had no outstanding balance on the Convertible Notes.</w:t>
      </w:r>
    </w:p>
    <w:p>
      <w:pPr>
        <w:spacing w:after="0" w:line="1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Covenants</w:t>
      </w:r>
    </w:p>
    <w:p>
      <w:pPr>
        <w:spacing w:after="0" w:line="180" w:lineRule="exact"/>
        <w:rPr>
          <w:sz w:val="20"/>
          <w:szCs w:val="20"/>
          <w:color w:val="auto"/>
        </w:rPr>
      </w:pPr>
    </w:p>
    <w:p>
      <w:pPr>
        <w:ind w:firstLine="319"/>
        <w:spacing w:after="0" w:line="252" w:lineRule="auto"/>
        <w:rPr>
          <w:sz w:val="20"/>
          <w:szCs w:val="20"/>
          <w:color w:val="auto"/>
        </w:rPr>
      </w:pPr>
      <w:r>
        <w:rPr>
          <w:rFonts w:ascii="Times New Roman" w:cs="Times New Roman" w:eastAsia="Times New Roman" w:hAnsi="Times New Roman"/>
          <w:sz w:val="18"/>
          <w:szCs w:val="18"/>
          <w:color w:val="auto"/>
        </w:rPr>
        <w:t>Our Amended Credit Facilities, 5.625% Notes, 4.125% Notes, and 6.75% Notes require us, among other obligations, to maintain specified financial ratios and to satisfy certain financial tests. In addition, our Amended Credit Facilities, 5.625% Notes, 4.125% Notes, and 6.75% Notes restrict, among other things, our ability to incur additional indebtedness, incur guarantee obligations, amend debt instruments, pay dividends, create liens on assets, make investments, engage in mergers or consolidations, and otherwise restrict corporate activities. Our debt agreements also contain customary events of default, including cross-default provisions that require us to meet certain requirements under the Master Leases. If we are unable to meet our financial covenants or in the event of a cross-default, it could trigger an acceleration of payment terms.</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179705</wp:posOffset>
            </wp:positionV>
            <wp:extent cx="716026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300" w:firstLine="319"/>
        <w:spacing w:after="0" w:line="260" w:lineRule="auto"/>
        <w:rPr>
          <w:sz w:val="20"/>
          <w:szCs w:val="20"/>
          <w:color w:val="auto"/>
        </w:rPr>
      </w:pPr>
      <w:r>
        <w:rPr>
          <w:rFonts w:ascii="Times New Roman" w:cs="Times New Roman" w:eastAsia="Times New Roman" w:hAnsi="Times New Roman"/>
          <w:sz w:val="18"/>
          <w:szCs w:val="18"/>
          <w:color w:val="auto"/>
        </w:rPr>
        <w:t>As of September 30, 2026, the Company was in compliance with all required financial covenants. The Company believes that it will remain in compliance with all of its required financial covenants for at least the next twelve months following the date of filing this Quarterly Report on Form 10-Q with the SEC.</w:t>
      </w:r>
    </w:p>
    <w:p>
      <w:pPr>
        <w:spacing w:after="0" w:line="151" w:lineRule="exact"/>
        <w:rPr>
          <w:sz w:val="20"/>
          <w:szCs w:val="20"/>
          <w:color w:val="auto"/>
        </w:rPr>
      </w:pPr>
    </w:p>
    <w:p>
      <w:pPr>
        <w:ind w:right="240" w:firstLine="319"/>
        <w:spacing w:after="0" w:line="275"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5, “Long-Term Debt”</w:t>
      </w:r>
      <w:r>
        <w:rPr>
          <w:rFonts w:ascii="Times New Roman" w:cs="Times New Roman" w:eastAsia="Times New Roman" w:hAnsi="Times New Roman"/>
          <w:sz w:val="18"/>
          <w:szCs w:val="18"/>
          <w:color w:val="auto"/>
        </w:rPr>
        <w:t xml:space="preserve"> in the notes to the unaudited Consolidated Financial Statements for additional information on the Company’s debt and other long-term obligations.</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Share Repurchase Authorization</w:t>
      </w:r>
    </w:p>
    <w:p>
      <w:pPr>
        <w:spacing w:after="0" w:line="180" w:lineRule="exact"/>
        <w:rPr>
          <w:sz w:val="20"/>
          <w:szCs w:val="20"/>
          <w:color w:val="auto"/>
        </w:rPr>
      </w:pPr>
    </w:p>
    <w:p>
      <w:pPr>
        <w:ind w:right="480" w:firstLine="319"/>
        <w:spacing w:after="0" w:line="275" w:lineRule="auto"/>
        <w:rPr>
          <w:sz w:val="20"/>
          <w:szCs w:val="20"/>
          <w:color w:val="auto"/>
        </w:rPr>
      </w:pPr>
      <w:r>
        <w:rPr>
          <w:rFonts w:ascii="Times New Roman" w:cs="Times New Roman" w:eastAsia="Times New Roman" w:hAnsi="Times New Roman"/>
          <w:sz w:val="18"/>
          <w:szCs w:val="18"/>
          <w:color w:val="auto"/>
        </w:rPr>
        <w:t>On October 30, 2025, the Board of Directors approved a new $750.0 million share repurchase program (the “October 2025 Authorization”), which commenced on January 1, 2026 and expires on December 31, 2028.</w:t>
      </w:r>
    </w:p>
    <w:p>
      <w:pPr>
        <w:spacing w:after="0" w:line="190" w:lineRule="exact"/>
        <w:rPr>
          <w:sz w:val="20"/>
          <w:szCs w:val="20"/>
          <w:color w:val="auto"/>
        </w:rPr>
      </w:pPr>
    </w:p>
    <w:p>
      <w:pPr>
        <w:ind w:right="20" w:firstLine="319"/>
        <w:spacing w:after="0" w:line="255" w:lineRule="auto"/>
        <w:rPr>
          <w:sz w:val="20"/>
          <w:szCs w:val="20"/>
          <w:color w:val="auto"/>
        </w:rPr>
      </w:pPr>
      <w:r>
        <w:rPr>
          <w:rFonts w:ascii="Times New Roman" w:cs="Times New Roman" w:eastAsia="Times New Roman" w:hAnsi="Times New Roman"/>
          <w:sz w:val="18"/>
          <w:szCs w:val="18"/>
          <w:color w:val="auto"/>
        </w:rPr>
        <w:t>Repurchases by the Company are subject to available liquidity, general market and economic conditions, alternate uses for capital, and other factors. Share repurchases may be made from time to time through a Rule 10b5-1 trading plan, open market transactions, block trades or in private transactions in accordance with applicable securities laws and regulations and other legal requirements. There is no minimum number of shares that the Company is required to repurchase and the repurchase authorization may be suspended or discontinued at any time without prior notice.</w:t>
      </w:r>
    </w:p>
    <w:p>
      <w:pPr>
        <w:spacing w:after="0" w:line="1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 shares of the Company’s common stock were repurchased during the three and nine months ended September 30, 2026.</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cost of all repurchased shares is recorded as “Treasury stock” within the unaudited Consolidated Balance Sheets.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Factors Affecting Liquidity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Triple Net Leases</w:t>
      </w:r>
    </w:p>
    <w:p>
      <w:pPr>
        <w:spacing w:after="0" w:line="182" w:lineRule="exact"/>
        <w:rPr>
          <w:sz w:val="20"/>
          <w:szCs w:val="20"/>
          <w:color w:val="auto"/>
        </w:rPr>
      </w:pPr>
    </w:p>
    <w:p>
      <w:pPr>
        <w:ind w:right="100" w:firstLine="319"/>
        <w:spacing w:after="0" w:line="253" w:lineRule="auto"/>
        <w:rPr>
          <w:sz w:val="20"/>
          <w:szCs w:val="20"/>
          <w:color w:val="auto"/>
        </w:rPr>
      </w:pPr>
      <w:r>
        <w:rPr>
          <w:rFonts w:ascii="Times New Roman" w:cs="Times New Roman" w:eastAsia="Times New Roman" w:hAnsi="Times New Roman"/>
          <w:sz w:val="18"/>
          <w:szCs w:val="18"/>
          <w:color w:val="auto"/>
        </w:rPr>
        <w:t xml:space="preserve">The majority of the real estate assets (i.e., land and buildings) used in our operations are subject to triple net master leases; the most significant of which are the AR PENN Master Lease, 2023 Master Lease, and Pinnacle Master Lease (as such terms are defined in </w:t>
      </w:r>
      <w:r>
        <w:rPr>
          <w:rFonts w:ascii="Times New Roman" w:cs="Times New Roman" w:eastAsia="Times New Roman" w:hAnsi="Times New Roman"/>
          <w:sz w:val="18"/>
          <w:szCs w:val="18"/>
          <w:u w:val="single" w:color="auto"/>
          <w:color w:val="0000FF"/>
        </w:rPr>
        <w:t>Note 6, “Leases”</w:t>
      </w:r>
      <w:r>
        <w:rPr>
          <w:rFonts w:ascii="Times New Roman" w:cs="Times New Roman" w:eastAsia="Times New Roman" w:hAnsi="Times New Roman"/>
          <w:sz w:val="18"/>
          <w:szCs w:val="18"/>
          <w:color w:val="auto"/>
        </w:rPr>
        <w:t xml:space="preserve"> in the notes to our unaudited Consolidated Financial Statements, and collectively referred to as the “Master Leases”) with GLPI. We refer to the Master Leases, VICI Master Lease, Margaritaville Lease (prior to December 4, 2025), Greektown Lease (prior to December 4, 2025), and Morgantown Lease, collectively, as our “Triple Net Leases.” The Company’s Triple Net Leases are accounted for as either operating leases, finance leases, or financing obligations.</w:t>
      </w:r>
    </w:p>
    <w:p>
      <w:pPr>
        <w:spacing w:after="0" w:line="144" w:lineRule="exact"/>
        <w:rPr>
          <w:sz w:val="20"/>
          <w:szCs w:val="20"/>
          <w:color w:val="auto"/>
        </w:rPr>
      </w:pPr>
    </w:p>
    <w:p>
      <w:pPr>
        <w:ind w:firstLine="319"/>
        <w:spacing w:after="0" w:line="252" w:lineRule="auto"/>
        <w:rPr>
          <w:sz w:val="20"/>
          <w:szCs w:val="20"/>
          <w:color w:val="auto"/>
        </w:rPr>
      </w:pPr>
      <w:r>
        <w:rPr>
          <w:rFonts w:ascii="Times New Roman" w:cs="Times New Roman" w:eastAsia="Times New Roman" w:hAnsi="Times New Roman"/>
          <w:sz w:val="18"/>
          <w:szCs w:val="18"/>
          <w:color w:val="auto"/>
        </w:rPr>
        <w:t xml:space="preserve">Under our Triple Net Leases, in addition to lease payments for the real estate assets, we are required to pay the following, among other things: (i) all facility maintenance; (ii) all insurance required in connection with the leased properties and the business conducted on the leased properties; (iii) taxes levied on or with respect to the leased properties (other than taxes on the income of the lessor); (iv) all tenant capital improvements; and (v) all utilities and other services necessary or appropriate for the leased properties and the business conducted on the leased properties. Additionally, our Triple Net Leases are subject to annual escalators and periodic percentage rent resets, as applicable. See </w:t>
      </w:r>
      <w:r>
        <w:rPr>
          <w:rFonts w:ascii="Times New Roman" w:cs="Times New Roman" w:eastAsia="Times New Roman" w:hAnsi="Times New Roman"/>
          <w:sz w:val="18"/>
          <w:szCs w:val="18"/>
          <w:u w:val="single" w:color="auto"/>
          <w:color w:val="0000FF"/>
        </w:rPr>
        <w:t>Note 6, “Leases”</w:t>
      </w:r>
      <w:r>
        <w:rPr>
          <w:rFonts w:ascii="Times New Roman" w:cs="Times New Roman" w:eastAsia="Times New Roman" w:hAnsi="Times New Roman"/>
          <w:sz w:val="18"/>
          <w:szCs w:val="18"/>
          <w:color w:val="auto"/>
        </w:rPr>
        <w:t xml:space="preserve"> in the notes to the unaudited Consolidated Financial Statements for further discussion and disclosure related to the Company’s leases.</w:t>
      </w:r>
    </w:p>
    <w:p>
      <w:pPr>
        <w:spacing w:after="0" w:line="1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Payments to our REIT Landlords under Triple Net Leases</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Total payments made to our REIT Landlords, GLPI and VICI,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20" w:type="dxa"/>
            <w:vAlign w:val="bottom"/>
          </w:tcPr>
          <w:p>
            <w:pPr>
              <w:spacing w:after="0"/>
              <w:rPr>
                <w:sz w:val="18"/>
                <w:szCs w:val="18"/>
                <w:color w:val="auto"/>
              </w:rPr>
            </w:pPr>
          </w:p>
        </w:tc>
        <w:tc>
          <w:tcPr>
            <w:tcW w:w="2440" w:type="dxa"/>
            <w:vAlign w:val="bottom"/>
            <w:gridSpan w:val="4"/>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right"/>
              <w:ind w:right="691"/>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179"/>
        </w:trPr>
        <w:tc>
          <w:tcPr>
            <w:tcW w:w="54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40" w:type="dxa"/>
            <w:vAlign w:val="bottom"/>
          </w:tcPr>
          <w:p>
            <w:pPr>
              <w:spacing w:after="0"/>
              <w:rPr>
                <w:sz w:val="15"/>
                <w:szCs w:val="15"/>
                <w:color w:val="auto"/>
              </w:rPr>
            </w:pPr>
          </w:p>
        </w:tc>
        <w:tc>
          <w:tcPr>
            <w:tcW w:w="1120" w:type="dxa"/>
            <w:vAlign w:val="bottom"/>
          </w:tcPr>
          <w:p>
            <w:pPr>
              <w:jc w:val="right"/>
              <w:ind w:right="411"/>
              <w:spacing w:after="0" w:line="166" w:lineRule="exact"/>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jc w:val="right"/>
              <w:ind w:right="411"/>
              <w:spacing w:after="0" w:line="166" w:lineRule="exact"/>
              <w:rPr>
                <w:sz w:val="20"/>
                <w:szCs w:val="20"/>
                <w:color w:val="auto"/>
              </w:rPr>
            </w:pPr>
            <w:r>
              <w:rPr>
                <w:rFonts w:ascii="Times New Roman" w:cs="Times New Roman" w:eastAsia="Times New Roman" w:hAnsi="Times New Roman"/>
                <w:sz w:val="18"/>
                <w:szCs w:val="18"/>
                <w:b w:val="1"/>
                <w:bCs w:val="1"/>
                <w:color w:val="auto"/>
                <w:w w:val="94"/>
              </w:rPr>
              <w:t>2025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ind w:right="371"/>
              <w:spacing w:after="0" w:line="166" w:lineRule="exact"/>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371"/>
              <w:spacing w:after="0" w:line="166" w:lineRule="exact"/>
              <w:rPr>
                <w:sz w:val="20"/>
                <w:szCs w:val="20"/>
                <w:color w:val="auto"/>
              </w:rPr>
            </w:pPr>
            <w:r>
              <w:rPr>
                <w:rFonts w:ascii="Times New Roman" w:cs="Times New Roman" w:eastAsia="Times New Roman" w:hAnsi="Times New Roman"/>
                <w:sz w:val="18"/>
                <w:szCs w:val="18"/>
                <w:b w:val="1"/>
                <w:bCs w:val="1"/>
                <w:color w:val="auto"/>
              </w:rPr>
              <w:t>2025</w:t>
            </w:r>
          </w:p>
        </w:tc>
      </w:tr>
      <w:tr>
        <w:trPr>
          <w:trHeight w:val="33"/>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4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2"/>
        </w:trPr>
        <w:tc>
          <w:tcPr>
            <w:tcW w:w="5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 PENN Master Lease</w:t>
            </w: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w:t>
            </w:r>
          </w:p>
        </w:tc>
      </w:tr>
      <w:tr>
        <w:trPr>
          <w:trHeight w:val="239"/>
        </w:trPr>
        <w:tc>
          <w:tcPr>
            <w:tcW w:w="54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2023 Master Lease</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w:t>
            </w:r>
          </w:p>
        </w:tc>
      </w:tr>
      <w:tr>
        <w:trPr>
          <w:trHeight w:val="239"/>
        </w:trPr>
        <w:tc>
          <w:tcPr>
            <w:tcW w:w="5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Pinnacle Master Lease</w:t>
            </w: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w:t>
            </w:r>
          </w:p>
        </w:tc>
      </w:tr>
      <w:tr>
        <w:trPr>
          <w:trHeight w:val="239"/>
        </w:trPr>
        <w:tc>
          <w:tcPr>
            <w:tcW w:w="5460" w:type="dxa"/>
            <w:vAlign w:val="bottom"/>
            <w:gridSpan w:val="3"/>
          </w:tcPr>
          <w:p>
            <w:pPr>
              <w:ind w:left="20"/>
              <w:spacing w:after="0" w:line="239" w:lineRule="exact"/>
              <w:rPr>
                <w:sz w:val="20"/>
                <w:szCs w:val="20"/>
                <w:color w:val="auto"/>
              </w:rPr>
            </w:pPr>
            <w:r>
              <w:rPr>
                <w:rFonts w:ascii="Times New Roman" w:cs="Times New Roman" w:eastAsia="Times New Roman" w:hAnsi="Times New Roman"/>
                <w:sz w:val="18"/>
                <w:szCs w:val="18"/>
                <w:color w:val="auto"/>
              </w:rPr>
              <w:t xml:space="preserve">VICI Master Lease </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460" w:type="dxa"/>
            <w:vAlign w:val="bottom"/>
            <w:gridSpan w:val="3"/>
            <w:shd w:val="clear" w:color="auto" w:fill="CCEEFF"/>
          </w:tcPr>
          <w:p>
            <w:pPr>
              <w:ind w:left="20"/>
              <w:spacing w:after="0" w:line="239" w:lineRule="exact"/>
              <w:rPr>
                <w:sz w:val="20"/>
                <w:szCs w:val="20"/>
                <w:color w:val="auto"/>
              </w:rPr>
            </w:pPr>
            <w:r>
              <w:rPr>
                <w:rFonts w:ascii="Times New Roman" w:cs="Times New Roman" w:eastAsia="Times New Roman" w:hAnsi="Times New Roman"/>
                <w:sz w:val="18"/>
                <w:szCs w:val="18"/>
                <w:color w:val="auto"/>
              </w:rPr>
              <w:t xml:space="preserve">Margaritaville Lease </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39"/>
        </w:trPr>
        <w:tc>
          <w:tcPr>
            <w:tcW w:w="5460" w:type="dxa"/>
            <w:vAlign w:val="bottom"/>
            <w:gridSpan w:val="3"/>
          </w:tcPr>
          <w:p>
            <w:pPr>
              <w:ind w:left="20"/>
              <w:spacing w:after="0" w:line="239" w:lineRule="exact"/>
              <w:rPr>
                <w:sz w:val="20"/>
                <w:szCs w:val="20"/>
                <w:color w:val="auto"/>
              </w:rPr>
            </w:pPr>
            <w:r>
              <w:rPr>
                <w:rFonts w:ascii="Times New Roman" w:cs="Times New Roman" w:eastAsia="Times New Roman" w:hAnsi="Times New Roman"/>
                <w:sz w:val="18"/>
                <w:szCs w:val="18"/>
                <w:color w:val="auto"/>
              </w:rPr>
              <w:t xml:space="preserve">Greektown Lease </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39"/>
        </w:trPr>
        <w:tc>
          <w:tcPr>
            <w:tcW w:w="5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Morgantown Lease</w:t>
            </w:r>
          </w:p>
        </w:tc>
        <w:tc>
          <w:tcPr>
            <w:tcW w:w="2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2"/>
        </w:trPr>
        <w:tc>
          <w:tcPr>
            <w:tcW w:w="54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100" w:type="dxa"/>
            <w:vAlign w:val="bottom"/>
          </w:tcPr>
          <w:p>
            <w:pPr>
              <w:spacing w:after="0"/>
              <w:rPr>
                <w:sz w:val="20"/>
                <w:szCs w:val="20"/>
                <w:color w:val="auto"/>
              </w:rPr>
            </w:pPr>
          </w:p>
        </w:tc>
        <w:tc>
          <w:tcPr>
            <w:tcW w:w="5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746.6</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721.9</w:t>
            </w: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23" w:lineRule="exact"/>
        <w:rPr>
          <w:sz w:val="20"/>
          <w:szCs w:val="20"/>
          <w:color w:val="auto"/>
        </w:rPr>
      </w:pPr>
    </w:p>
    <w:p>
      <w:pPr>
        <w:ind w:left="640" w:hanging="315"/>
        <w:spacing w:after="0" w:line="291" w:lineRule="auto"/>
        <w:tabs>
          <w:tab w:leader="none" w:pos="63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As discussed in </w:t>
      </w:r>
      <w:r>
        <w:rPr>
          <w:rFonts w:ascii="Times New Roman" w:cs="Times New Roman" w:eastAsia="Times New Roman" w:hAnsi="Times New Roman"/>
          <w:sz w:val="14"/>
          <w:szCs w:val="14"/>
          <w:u w:val="single" w:color="auto"/>
          <w:color w:val="0000FF"/>
        </w:rPr>
        <w:t>Note 6, “Leases,”</w:t>
      </w:r>
      <w:r>
        <w:rPr>
          <w:rFonts w:ascii="Times New Roman" w:cs="Times New Roman" w:eastAsia="Times New Roman" w:hAnsi="Times New Roman"/>
          <w:sz w:val="14"/>
          <w:szCs w:val="14"/>
          <w:color w:val="auto"/>
        </w:rPr>
        <w:t xml:space="preserve"> prior to December 4, 2025, lease payments made to VICI related to the Margaritaville and Greektown individual triple net leases; effective December 4, 2025, lease payments made to VICI relate to the VICI Master Lease.</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179705</wp:posOffset>
            </wp:positionV>
            <wp:extent cx="716026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Outlook</w:t>
      </w:r>
    </w:p>
    <w:p>
      <w:pPr>
        <w:spacing w:after="0" w:line="195" w:lineRule="exact"/>
        <w:rPr>
          <w:sz w:val="20"/>
          <w:szCs w:val="20"/>
          <w:color w:val="auto"/>
        </w:rPr>
      </w:pPr>
    </w:p>
    <w:p>
      <w:pPr>
        <w:ind w:firstLine="319"/>
        <w:spacing w:after="0" w:line="264" w:lineRule="auto"/>
        <w:rPr>
          <w:sz w:val="20"/>
          <w:szCs w:val="20"/>
          <w:color w:val="auto"/>
        </w:rPr>
      </w:pPr>
      <w:r>
        <w:rPr>
          <w:rFonts w:ascii="Times New Roman" w:cs="Times New Roman" w:eastAsia="Times New Roman" w:hAnsi="Times New Roman"/>
          <w:sz w:val="17"/>
          <w:szCs w:val="17"/>
          <w:color w:val="auto"/>
        </w:rPr>
        <w:t>Based on our current level of operations, we believe that cash generated from operations and cash on hand, together with amounts available under our Amended Credit Facilities, will be adequate to meet our anticipated obligations under our Triple Net Leases, debt service requirements, capital expenditures and working capital needs for the foreseeable future. However, our ability to generate sufficient cash flow from operations will depend on a range of economic, competitive and business factors, many of which are outside our control. We cannot be certain: (i) of the impact of price inflation, changes in interest rates on the U.S. economy, economic uncertainty, and geopolitical uncertainty; (ii) that our anticipated earnings projections will be realized; (iii) that we will realize the anticipated benefits of our digital and omni-channel strategies; (iv) that we will realize the anticipated benefits of our development projects; and (v) that future borrowings will be available under our Amended Credit Facilities or otherwise will be available in the credit markets to enable us to service our indebtedness or to make anticipated capital expenditures. We caution that the performance and trends seen across our portfolio may not continue. In addition, while we anticipate that a significant amount of our future growth would come through the pursuit of opportunities within other distribution channels, such as media, retail, and online gaming; from acquisitions of gaming properties at reasonable valuations; Greenfield projects; development projects; and jurisdictional expansions and property expansion in under-penetrated markets; there can be no assurance that this will be the case. If we consummate significant acquisitions in the future or undertake any significant property expansions, our cash requirements may increase significantly, and we may need to make additional borrowings or complete equity or debt financings to meet these requirements. See Part I, Item 1A. “Risk Factors” of the Company’s Form 10-K for the year ended December 31, 2025 for a discussion of additional risks, including risks related to the Company’s capital structure.</w:t>
      </w:r>
    </w:p>
    <w:p>
      <w:pPr>
        <w:spacing w:after="0" w:line="137" w:lineRule="exact"/>
        <w:rPr>
          <w:sz w:val="20"/>
          <w:szCs w:val="20"/>
          <w:color w:val="auto"/>
        </w:rPr>
      </w:pPr>
    </w:p>
    <w:p>
      <w:pPr>
        <w:jc w:val="both"/>
        <w:ind w:right="80" w:firstLine="319"/>
        <w:spacing w:after="0" w:line="260" w:lineRule="auto"/>
        <w:rPr>
          <w:sz w:val="20"/>
          <w:szCs w:val="20"/>
          <w:color w:val="auto"/>
        </w:rPr>
      </w:pPr>
      <w:r>
        <w:rPr>
          <w:rFonts w:ascii="Times New Roman" w:cs="Times New Roman" w:eastAsia="Times New Roman" w:hAnsi="Times New Roman"/>
          <w:sz w:val="18"/>
          <w:szCs w:val="18"/>
          <w:color w:val="auto"/>
        </w:rPr>
        <w:t>We have historically maintained a capital structure comprised of a mix of equity and debt financing. We vary our leverage to pursue opportunities in the marketplace in an effort to maximize our enterprise value for our shareholders. We expect to meet our debt obligations as they come due through internally-generated funds from operations and/or refinancing them through the debt or equity markets prior to their maturity.</w:t>
      </w:r>
    </w:p>
    <w:p>
      <w:pPr>
        <w:spacing w:after="0" w:line="13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93" w:lineRule="exact"/>
        <w:rPr>
          <w:sz w:val="20"/>
          <w:szCs w:val="20"/>
          <w:color w:val="auto"/>
        </w:rPr>
      </w:pPr>
    </w:p>
    <w:p>
      <w:pPr>
        <w:ind w:right="340" w:firstLine="319"/>
        <w:spacing w:after="0" w:line="275" w:lineRule="auto"/>
        <w:rPr>
          <w:sz w:val="20"/>
          <w:szCs w:val="20"/>
          <w:color w:val="auto"/>
        </w:rPr>
      </w:pPr>
      <w:r>
        <w:rPr>
          <w:rFonts w:ascii="Times New Roman" w:cs="Times New Roman" w:eastAsia="Times New Roman" w:hAnsi="Times New Roman"/>
          <w:sz w:val="18"/>
          <w:szCs w:val="18"/>
          <w:color w:val="auto"/>
        </w:rPr>
        <w:t>A complete discussion of our critical accounting estimates is included in our Form 10-K for the year ended December 31, 2025. There have been no significant changes in our critical accounting estimates during the nine months ended September 30, 2026.</w:t>
      </w:r>
    </w:p>
    <w:p>
      <w:pPr>
        <w:spacing w:after="0" w:line="1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80" w:lineRule="exact"/>
        <w:rPr>
          <w:sz w:val="20"/>
          <w:szCs w:val="20"/>
          <w:color w:val="auto"/>
        </w:rPr>
      </w:pPr>
    </w:p>
    <w:p>
      <w:pPr>
        <w:ind w:right="440" w:firstLine="319"/>
        <w:spacing w:after="0" w:line="275" w:lineRule="auto"/>
        <w:rPr>
          <w:sz w:val="20"/>
          <w:szCs w:val="20"/>
          <w:color w:val="auto"/>
        </w:rPr>
      </w:pPr>
      <w:r>
        <w:rPr>
          <w:rFonts w:ascii="Times New Roman" w:cs="Times New Roman" w:eastAsia="Times New Roman" w:hAnsi="Times New Roman"/>
          <w:sz w:val="18"/>
          <w:szCs w:val="18"/>
          <w:color w:val="auto"/>
        </w:rPr>
        <w:t xml:space="preserve">For information with respect to new accounting pronouncements and the impact of these pronouncements on the unaudited Consolidated Financial Statements, see </w:t>
      </w:r>
      <w:r>
        <w:rPr>
          <w:rFonts w:ascii="Times New Roman" w:cs="Times New Roman" w:eastAsia="Times New Roman" w:hAnsi="Times New Roman"/>
          <w:sz w:val="18"/>
          <w:szCs w:val="18"/>
          <w:u w:val="single" w:color="auto"/>
          <w:color w:val="0000FF"/>
        </w:rPr>
        <w:t>Note 3, “New Accounting Pronouncements”</w:t>
      </w:r>
      <w:r>
        <w:rPr>
          <w:rFonts w:ascii="Times New Roman" w:cs="Times New Roman" w:eastAsia="Times New Roman" w:hAnsi="Times New Roman"/>
          <w:sz w:val="18"/>
          <w:szCs w:val="18"/>
          <w:color w:val="auto"/>
        </w:rPr>
        <w:t xml:space="preserve"> in the notes to the unaudited Consolidated Financial Statements.</w:t>
      </w:r>
    </w:p>
    <w:p>
      <w:pPr>
        <w:spacing w:after="0" w:line="200" w:lineRule="exact"/>
        <w:rPr>
          <w:sz w:val="20"/>
          <w:szCs w:val="20"/>
          <w:color w:val="auto"/>
        </w:rPr>
      </w:pPr>
    </w:p>
    <w:p>
      <w:pPr>
        <w:spacing w:after="0" w:line="29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187960</wp:posOffset>
            </wp:positionV>
            <wp:extent cx="716026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IMPORTANT FACTORS REGARDING FORWARD-LOOKING STATEMENTS</w:t>
      </w:r>
    </w:p>
    <w:p>
      <w:pPr>
        <w:spacing w:after="0" w:line="193" w:lineRule="exact"/>
        <w:rPr>
          <w:sz w:val="20"/>
          <w:szCs w:val="20"/>
          <w:color w:val="auto"/>
        </w:rPr>
      </w:pPr>
    </w:p>
    <w:p>
      <w:pPr>
        <w:ind w:firstLine="319"/>
        <w:spacing w:after="0" w:line="247"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Private Securities Litigation Reform Act of 1995. These statements can be identified by the use of forward-looking terminology such as “expects,” “believes,” “estimates,” “projects,” “intends,” “plans,” “goal,” “seeks,” “may,” “will,” “should,” “look forward to,” or “anticipates” or the negative or other variations of these or similar words, or by discussions of future events, strategies or risks and uncertainties. Specifically, forward-looking statements include, but are not limited to, statements regarding: the Company’s expectations of future results of operations and financial condition, including, but not limited to, projections of revenue, Segment Adjusted EBITDAR, Consolidated Adjusted EBITDA, and other financial measures; the assumptions provided regarding the guidance, including the anticipated benefits and timing of the Company’s development pipeline, other expected internal drivers and external tailwinds; the Company’s expectations regarding cash flow generation and near-term deleveraging; the Company’s expectations regarding results and customer growth and the impact of competition in retail/mobile/online sportsbooks (including prediction markets), iCasino, social gaming, and retail operations; the Company’s development and launch of its Interactive segment’s products in new jurisdictions and enhancements to existing Interactive segment products; the future success of theScore Bet, theScore Casino, Hollywood iCasino and its other digital offerings; the Company’s expectations with respect to share repurchases; the Company’s expectations that its portfolio of assets provides a benefit of geographically-diversified cash flows from operations; management’s plans and strategies for future operations, including statements relating to the Company’s plan to expand gaming operations through the implementation and execution of a disciplined capital expenditure program at our existing properties, the pursuit of strategic acquisitions and investments, and the development of new gaming properties, including the development projects and the anticipated benefits; improvements, expansions, or relocations of our existing properties; entrance into new jurisdictions; expansion of gaming in existing jurisdictions; strategic investments and acquisitions; cross-sell opportunities between our retail gaming, online sports betting, and iCasino businesses; our ability to obtain financing for our development pipeline on attractive terms; the timing, cost and expected impact of planned capital expenditures on the Company’s results of operations; and the actions of regulatory, legislative, executive, or judicial decisions at the federal, state, provincial, or local level with regard to our business and the impact of any such actions.</w:t>
      </w:r>
    </w:p>
    <w:p>
      <w:pPr>
        <w:spacing w:after="0" w:line="163" w:lineRule="exact"/>
        <w:rPr>
          <w:sz w:val="20"/>
          <w:szCs w:val="20"/>
          <w:color w:val="auto"/>
        </w:rPr>
      </w:pPr>
    </w:p>
    <w:p>
      <w:pPr>
        <w:ind w:right="20" w:firstLine="319"/>
        <w:spacing w:after="0" w:line="247" w:lineRule="auto"/>
        <w:rPr>
          <w:sz w:val="20"/>
          <w:szCs w:val="20"/>
          <w:color w:val="auto"/>
        </w:rPr>
      </w:pPr>
      <w:r>
        <w:rPr>
          <w:rFonts w:ascii="Times New Roman" w:cs="Times New Roman" w:eastAsia="Times New Roman" w:hAnsi="Times New Roman"/>
          <w:sz w:val="18"/>
          <w:szCs w:val="18"/>
          <w:color w:val="auto"/>
        </w:rPr>
        <w:t>Such statements are all subject to risks, uncertainties and changes in circumstances that could significantly affect the Company’s future financial results and business. Accordingly, the Company cautions that the forward-looking statements contained herein are qualified by important factors that could cause actual results to differ materially from those reflected by such statements. Such factors include: the effects of economic and market conditions in the markets in which the Company operates or otherwise, including the impact of global supply chain disruptions, price inflation, changes in interest rates, economic downturns, changes in trade policies, and geopolitical and regulatory uncertainty; competition with other retail and online gaming and sports betting, entertainment and sports content experiences; the timing, cost and expected impact of product and technology investments; risks relating to operations, permits, licenses, financings, approvals and other contingencies in connection with growth in new or existing jurisdictions; our ability to successfully acquire and integrate new properties and operations and achieve expected synergies from acquisitions; the availability of future borrowings under our Amended Credit Facilities or other sources of capital to enable us to service our indebtedness, make anticipated capital expenditures or pay off or refinance our indebtedness prior to maturity; the impact of indemnification obligations under the Barstool SPA; our ability to realize the anticipated benefits of our development projects and our digital and omni-channel strategies; our ability to attract and retain user adoption of theScore Bet, theScore Casino, and Hollywood iCasino apps in a rapidly evolving and highly competitive market; the outcome of any legal proceedings that may be instituted against the Company, or its respective directors, officers or employees; the ability of the Company to retain and hire key personnel; the impact of new or changes in current laws, regulations, rules or other industry standards; adverse outcomes of litigation involving the Company; our ability to maintain our gaming licenses and concessions and comply with applicable gaming law, changes in current laws, regulations, rules or other industry standards, and additional factors described in the Company’s Annual Report on Form 10-K for the year ended December 31, 2025, subsequent Quarterly Reports on Form 10-Q and Current Reports on Form 8-K, each as filed with the U.S. Securities and Exchange Commission. The Company does not intend to update publicly any forward-looking statements except as required by law. Considering these risks, uncertainties and assumptions, the forward-looking events discussed in this Quarterly Report on Form 10-Q may not occur.</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179705</wp:posOffset>
            </wp:positionV>
            <wp:extent cx="716026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80" w:lineRule="exact"/>
        <w:rPr>
          <w:sz w:val="20"/>
          <w:szCs w:val="20"/>
          <w:color w:val="auto"/>
        </w:rPr>
      </w:pPr>
    </w:p>
    <w:p>
      <w:pPr>
        <w:ind w:right="20" w:firstLine="319"/>
        <w:spacing w:after="0" w:line="255" w:lineRule="auto"/>
        <w:rPr>
          <w:sz w:val="20"/>
          <w:szCs w:val="20"/>
          <w:color w:val="auto"/>
        </w:rPr>
      </w:pPr>
      <w:r>
        <w:rPr>
          <w:rFonts w:ascii="Times New Roman" w:cs="Times New Roman" w:eastAsia="Times New Roman" w:hAnsi="Times New Roman"/>
          <w:sz w:val="18"/>
          <w:szCs w:val="18"/>
          <w:color w:val="auto"/>
        </w:rPr>
        <w:t>We are exposed to market risk from adverse changes in interest rates with respect to the short-term floating interest rates on borrowings under our Amended Credit Facilities. As of September 30, 2026, the Company’s Amended Credit Facilities had a gross outstanding balance of $1.4 billion, consisting of a $441.3 million Amended Term Loan A Facility and a $957.5 million Amended Term Loan B Facility. As of September 30, 2026, we had $976.1 million of available borrowing capacity under our Amended Revolving Credit Facility.</w:t>
      </w:r>
    </w:p>
    <w:p>
      <w:pPr>
        <w:spacing w:after="0" w:line="156" w:lineRule="exact"/>
        <w:rPr>
          <w:sz w:val="20"/>
          <w:szCs w:val="20"/>
          <w:color w:val="auto"/>
        </w:rPr>
      </w:pPr>
    </w:p>
    <w:p>
      <w:pPr>
        <w:ind w:right="560" w:firstLine="319"/>
        <w:spacing w:after="0" w:line="305" w:lineRule="auto"/>
        <w:rPr>
          <w:sz w:val="20"/>
          <w:szCs w:val="20"/>
          <w:color w:val="auto"/>
        </w:rPr>
      </w:pPr>
      <w:r>
        <w:rPr>
          <w:rFonts w:ascii="Times New Roman" w:cs="Times New Roman" w:eastAsia="Times New Roman" w:hAnsi="Times New Roman"/>
          <w:sz w:val="17"/>
          <w:szCs w:val="17"/>
          <w:color w:val="auto"/>
        </w:rPr>
        <w:t>The table below provides information as of September 30, 2026 about our long-term debt obligations that are sensitive to changes in interest rates, including the notional amounts maturing during the twelve month period presented and the related weighted-average interest rates by maturity dates.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10/1/26 -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10/1/27 -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10/1/28 -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10/1/29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10/1/30 -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220" w:type="dxa"/>
            <w:vAlign w:val="bottom"/>
          </w:tcPr>
          <w:p>
            <w:pPr>
              <w:spacing w:after="0"/>
              <w:rPr>
                <w:sz w:val="16"/>
                <w:szCs w:val="16"/>
                <w:color w:val="auto"/>
              </w:rPr>
            </w:pP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Pr>
          <w:p>
            <w:pPr>
              <w:spacing w:after="0"/>
              <w:rPr>
                <w:sz w:val="16"/>
                <w:szCs w:val="16"/>
                <w:color w:val="auto"/>
              </w:rPr>
            </w:pPr>
          </w:p>
        </w:tc>
        <w:tc>
          <w:tcPr>
            <w:tcW w:w="860" w:type="dxa"/>
            <w:vAlign w:val="bottom"/>
            <w:vMerge w:val="restart"/>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5"/>
              </w:rPr>
              <w:t>Fair Value</w:t>
            </w:r>
          </w:p>
        </w:tc>
        <w:tc>
          <w:tcPr>
            <w:tcW w:w="0" w:type="dxa"/>
            <w:vAlign w:val="bottom"/>
          </w:tcPr>
          <w:p>
            <w:pPr>
              <w:spacing w:after="0"/>
              <w:rPr>
                <w:sz w:val="1"/>
                <w:szCs w:val="1"/>
                <w:color w:val="auto"/>
              </w:rPr>
            </w:pPr>
          </w:p>
        </w:tc>
      </w:tr>
      <w:tr>
        <w:trPr>
          <w:trHeight w:val="159"/>
        </w:trPr>
        <w:tc>
          <w:tcPr>
            <w:tcW w:w="194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80" w:type="dxa"/>
            <w:vAlign w:val="bottom"/>
          </w:tcPr>
          <w:p>
            <w:pPr>
              <w:spacing w:after="0"/>
              <w:rPr>
                <w:sz w:val="13"/>
                <w:szCs w:val="13"/>
                <w:color w:val="auto"/>
              </w:rPr>
            </w:pPr>
          </w:p>
        </w:tc>
        <w:tc>
          <w:tcPr>
            <w:tcW w:w="900" w:type="dxa"/>
            <w:vAlign w:val="bottom"/>
          </w:tcPr>
          <w:p>
            <w:pPr>
              <w:jc w:val="right"/>
              <w:ind w:right="219"/>
              <w:spacing w:after="0" w:line="139" w:lineRule="exact"/>
              <w:rPr>
                <w:sz w:val="20"/>
                <w:szCs w:val="20"/>
                <w:color w:val="auto"/>
              </w:rPr>
            </w:pPr>
            <w:r>
              <w:rPr>
                <w:rFonts w:ascii="Times New Roman" w:cs="Times New Roman" w:eastAsia="Times New Roman" w:hAnsi="Times New Roman"/>
                <w:sz w:val="16"/>
                <w:szCs w:val="16"/>
                <w:b w:val="1"/>
                <w:bCs w:val="1"/>
                <w:color w:val="auto"/>
              </w:rPr>
              <w:t>9/30/27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ind w:right="219"/>
              <w:spacing w:after="0" w:line="139" w:lineRule="exact"/>
              <w:rPr>
                <w:sz w:val="20"/>
                <w:szCs w:val="20"/>
                <w:color w:val="auto"/>
              </w:rPr>
            </w:pPr>
            <w:r>
              <w:rPr>
                <w:rFonts w:ascii="Times New Roman" w:cs="Times New Roman" w:eastAsia="Times New Roman" w:hAnsi="Times New Roman"/>
                <w:sz w:val="16"/>
                <w:szCs w:val="16"/>
                <w:b w:val="1"/>
                <w:bCs w:val="1"/>
                <w:color w:val="auto"/>
              </w:rPr>
              <w:t>9/30/28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ind w:right="219"/>
              <w:spacing w:after="0" w:line="139" w:lineRule="exact"/>
              <w:rPr>
                <w:sz w:val="20"/>
                <w:szCs w:val="20"/>
                <w:color w:val="auto"/>
              </w:rPr>
            </w:pPr>
            <w:r>
              <w:rPr>
                <w:rFonts w:ascii="Times New Roman" w:cs="Times New Roman" w:eastAsia="Times New Roman" w:hAnsi="Times New Roman"/>
                <w:sz w:val="16"/>
                <w:szCs w:val="16"/>
                <w:b w:val="1"/>
                <w:bCs w:val="1"/>
                <w:color w:val="auto"/>
              </w:rPr>
              <w:t>9/30/29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right"/>
              <w:ind w:right="179"/>
              <w:spacing w:after="0" w:line="139" w:lineRule="exact"/>
              <w:rPr>
                <w:sz w:val="20"/>
                <w:szCs w:val="20"/>
                <w:color w:val="auto"/>
              </w:rPr>
            </w:pPr>
            <w:r>
              <w:rPr>
                <w:rFonts w:ascii="Times New Roman" w:cs="Times New Roman" w:eastAsia="Times New Roman" w:hAnsi="Times New Roman"/>
                <w:sz w:val="16"/>
                <w:szCs w:val="16"/>
                <w:b w:val="1"/>
                <w:bCs w:val="1"/>
                <w:color w:val="auto"/>
              </w:rPr>
              <w:t>-9/30/30</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ind w:right="239"/>
              <w:spacing w:after="0" w:line="139" w:lineRule="exact"/>
              <w:rPr>
                <w:sz w:val="20"/>
                <w:szCs w:val="20"/>
                <w:color w:val="auto"/>
              </w:rPr>
            </w:pPr>
            <w:r>
              <w:rPr>
                <w:rFonts w:ascii="Times New Roman" w:cs="Times New Roman" w:eastAsia="Times New Roman" w:hAnsi="Times New Roman"/>
                <w:sz w:val="16"/>
                <w:szCs w:val="16"/>
                <w:b w:val="1"/>
                <w:bCs w:val="1"/>
                <w:color w:val="auto"/>
              </w:rPr>
              <w:t>9/30/31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1160" w:type="dxa"/>
            <w:vAlign w:val="bottom"/>
            <w:tcBorders>
              <w:top w:val="single" w:sz="8" w:color="auto"/>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1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Fixed rate</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574.5</w:t>
            </w:r>
          </w:p>
        </w:tc>
        <w:tc>
          <w:tcPr>
            <w:tcW w:w="0" w:type="dxa"/>
            <w:vAlign w:val="bottom"/>
          </w:tcPr>
          <w:p>
            <w:pPr>
              <w:spacing w:after="0"/>
              <w:rPr>
                <w:sz w:val="1"/>
                <w:szCs w:val="1"/>
                <w:color w:val="auto"/>
              </w:rPr>
            </w:pPr>
          </w:p>
        </w:tc>
      </w:tr>
      <w:tr>
        <w:trPr>
          <w:trHeight w:val="223"/>
        </w:trPr>
        <w:tc>
          <w:tcPr>
            <w:tcW w:w="19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Average interest rate</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6.750 %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Fixed rate</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0" w:type="dxa"/>
            <w:vAlign w:val="bottom"/>
          </w:tcPr>
          <w:p>
            <w:pPr>
              <w:spacing w:after="0"/>
              <w:rPr>
                <w:sz w:val="1"/>
                <w:szCs w:val="1"/>
                <w:color w:val="auto"/>
              </w:rPr>
            </w:pPr>
          </w:p>
        </w:tc>
      </w:tr>
      <w:tr>
        <w:trPr>
          <w:trHeight w:val="223"/>
        </w:trPr>
        <w:tc>
          <w:tcPr>
            <w:tcW w:w="19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Average interest rate</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5.625 %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Fixed rate</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375.0</w:t>
            </w:r>
          </w:p>
        </w:tc>
        <w:tc>
          <w:tcPr>
            <w:tcW w:w="0" w:type="dxa"/>
            <w:vAlign w:val="bottom"/>
          </w:tcPr>
          <w:p>
            <w:pPr>
              <w:spacing w:after="0"/>
              <w:rPr>
                <w:sz w:val="1"/>
                <w:szCs w:val="1"/>
                <w:color w:val="auto"/>
              </w:rPr>
            </w:pPr>
          </w:p>
        </w:tc>
      </w:tr>
      <w:tr>
        <w:trPr>
          <w:trHeight w:val="223"/>
        </w:trPr>
        <w:tc>
          <w:tcPr>
            <w:tcW w:w="19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Average interest rate</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4.125 %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Variable rate</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907.5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1,387.4</w:t>
            </w:r>
          </w:p>
        </w:tc>
        <w:tc>
          <w:tcPr>
            <w:tcW w:w="0" w:type="dxa"/>
            <w:vAlign w:val="bottom"/>
          </w:tcPr>
          <w:p>
            <w:pPr>
              <w:spacing w:after="0"/>
              <w:rPr>
                <w:sz w:val="1"/>
                <w:szCs w:val="1"/>
                <w:color w:val="auto"/>
              </w:rPr>
            </w:pPr>
          </w:p>
        </w:tc>
      </w:tr>
      <w:tr>
        <w:trPr>
          <w:trHeight w:val="288"/>
        </w:trPr>
        <w:tc>
          <w:tcPr>
            <w:tcW w:w="19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 xml:space="preserve">Average interest rate </w:t>
            </w:r>
            <w:r>
              <w:rPr>
                <w:rFonts w:ascii="Times New Roman" w:cs="Times New Roman" w:eastAsia="Times New Roman" w:hAnsi="Times New Roman"/>
                <w:sz w:val="20"/>
                <w:szCs w:val="20"/>
                <w:color w:val="auto"/>
                <w:vertAlign w:val="superscript"/>
              </w:rPr>
              <w:t>(1)</w:t>
            </w: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6.746 %</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6.667 %</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6.608 %</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6.630 %</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6.600 %</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6.941 %</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640" w:hanging="315"/>
        <w:spacing w:after="0"/>
        <w:tabs>
          <w:tab w:leader="none" w:pos="6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rate, reflective of forward SOFR as of September 30, 2026 plus the margin over SOFR applicable to variable-rate borrowing.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Risk</w:t>
      </w:r>
    </w:p>
    <w:p>
      <w:pPr>
        <w:spacing w:after="0" w:line="195" w:lineRule="exact"/>
        <w:rPr>
          <w:sz w:val="20"/>
          <w:szCs w:val="20"/>
          <w:color w:val="auto"/>
        </w:rPr>
      </w:pPr>
    </w:p>
    <w:p>
      <w:pPr>
        <w:ind w:right="100" w:firstLine="319"/>
        <w:spacing w:after="0" w:line="249" w:lineRule="auto"/>
        <w:rPr>
          <w:sz w:val="20"/>
          <w:szCs w:val="20"/>
          <w:color w:val="auto"/>
        </w:rPr>
      </w:pPr>
      <w:r>
        <w:rPr>
          <w:rFonts w:ascii="Times New Roman" w:cs="Times New Roman" w:eastAsia="Times New Roman" w:hAnsi="Times New Roman"/>
          <w:sz w:val="18"/>
          <w:szCs w:val="18"/>
          <w:color w:val="auto"/>
        </w:rPr>
        <w:t>We are exposed to currency translation risk because the results of our international entities are reported in local currency, which we then translate to U.S. dollars for inclusion in the unaudited Consolidated Financial Statements. As a result, changes between the foreign exchange rates, in particular the Canadian dollar compared to the U.S. dollar, affect the amounts we record for our foreign assets, liabilities, revenues and expenses, and could have a negative effect on our financial results. The results of theScore are reported in Canadian dollars, which we then translate to U.S. dollars for inclusion in the unaudited Consolidated Financial Statements. We do not currently enter into hedging arrangements to minimize the impact of foreign currency fluctuations on our operations. For the three and nine months ended September 30, 2026, we incurred unrealized foreign currency translation adjustment losses of $1.6 million and $29.0 million, respectively, compared to unrealized foreign currency translation adjustment loss of $38.2 million and unrealized foreign currency translation adjustment gain of $53.8 million for the three and nine months ended September 30, 2025, respectively, as reported in “Foreign currency translation adjustment” within the unaudited Consolidated Statements of Comprehensive Income (Loss).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0" w:lineRule="exact"/>
        <w:rPr>
          <w:sz w:val="20"/>
          <w:szCs w:val="20"/>
          <w:color w:val="auto"/>
        </w:rPr>
      </w:pPr>
    </w:p>
    <w:p>
      <w:pPr>
        <w:ind w:right="80" w:firstLine="319"/>
        <w:spacing w:after="0" w:line="250" w:lineRule="auto"/>
        <w:rPr>
          <w:sz w:val="20"/>
          <w:szCs w:val="20"/>
          <w:color w:val="auto"/>
        </w:rPr>
      </w:pPr>
      <w:r>
        <w:rPr>
          <w:rFonts w:ascii="Times New Roman" w:cs="Times New Roman" w:eastAsia="Times New Roman" w:hAnsi="Times New Roman"/>
          <w:sz w:val="18"/>
          <w:szCs w:val="18"/>
          <w:color w:val="auto"/>
        </w:rPr>
        <w:t>The Company’s management, under the supervision and with the participation of our principal executive officer and principal financial officer, has evaluated the effectiveness of the Company’s disclosure controls and procedures (as defined in Rules 13a-15(e) and 15d-15(e) under the Securities Exchange Act of 1934, as amended (the “Exchange Act”)), as of September 30, 2026. Based on this evaluation, our principal executive officer and principal financial officer concluded that the Company’s disclosure controls and procedures were effective as of September 30, 2026 to ensure that information required to be disclosed by the Company in reports we file or submit under the Exchange Act is (i) recorded, processed, summarized, evaluated, and reported, as applicable, within the time periods specified in the United States Securities and Exchange Commission’s rules and forms and (ii) accumulated and communicated to the Company’s management, including the Company’s principal executive officer and principal financial officer, as appropriate to allow timely decisions regarding required disclosures.</w:t>
      </w:r>
    </w:p>
    <w:p>
      <w:pPr>
        <w:spacing w:after="0" w:line="161" w:lineRule="exact"/>
        <w:rPr>
          <w:sz w:val="20"/>
          <w:szCs w:val="20"/>
          <w:color w:val="auto"/>
        </w:rPr>
      </w:pPr>
    </w:p>
    <w:p>
      <w:pPr>
        <w:ind w:right="120" w:firstLine="319"/>
        <w:spacing w:after="0" w:line="275"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September 30, 2026, that have materially affected, or are reasonably likely to materially affect, our internal control over financial reporting.</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187960</wp:posOffset>
            </wp:positionV>
            <wp:extent cx="716026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PART II.</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9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80" w:lineRule="exact"/>
        <w:rPr>
          <w:sz w:val="20"/>
          <w:szCs w:val="20"/>
          <w:color w:val="auto"/>
        </w:rPr>
      </w:pPr>
    </w:p>
    <w:p>
      <w:pPr>
        <w:ind w:right="80" w:firstLine="319"/>
        <w:spacing w:after="0" w:line="275" w:lineRule="auto"/>
        <w:rPr>
          <w:sz w:val="20"/>
          <w:szCs w:val="20"/>
          <w:color w:val="auto"/>
        </w:rPr>
      </w:pPr>
      <w:r>
        <w:rPr>
          <w:rFonts w:ascii="Times New Roman" w:cs="Times New Roman" w:eastAsia="Times New Roman" w:hAnsi="Times New Roman"/>
          <w:sz w:val="18"/>
          <w:szCs w:val="18"/>
          <w:color w:val="auto"/>
        </w:rPr>
        <w:t>We are a party to a number of other pending legal proceedings. Management does not expect that the outcome of such proceedings, either individually or in the aggregate, will have a material effect on our financial position, results of operations, or 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1A.RISK FACTORS</w:t>
      </w:r>
    </w:p>
    <w:p>
      <w:pPr>
        <w:spacing w:after="0" w:line="193" w:lineRule="exact"/>
        <w:rPr>
          <w:sz w:val="20"/>
          <w:szCs w:val="20"/>
          <w:color w:val="auto"/>
        </w:rPr>
      </w:pPr>
    </w:p>
    <w:p>
      <w:pPr>
        <w:ind w:right="140" w:firstLine="319"/>
        <w:spacing w:after="0" w:line="260" w:lineRule="auto"/>
        <w:rPr>
          <w:sz w:val="20"/>
          <w:szCs w:val="20"/>
          <w:color w:val="auto"/>
        </w:rPr>
      </w:pPr>
      <w:r>
        <w:rPr>
          <w:rFonts w:ascii="Times New Roman" w:cs="Times New Roman" w:eastAsia="Times New Roman" w:hAnsi="Times New Roman"/>
          <w:sz w:val="18"/>
          <w:szCs w:val="18"/>
          <w:color w:val="auto"/>
        </w:rPr>
        <w:t>We refer you to our 2025 Annual Report on Form 10-K for a discussion of the risk factors that affect our business and financial results. There have been no material changes to the risk factors previously disclosed under Part I, Item 1A. “Risk Factors” in the Company’s Form 10-K for the year ended December 31, 2025.</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67" w:lineRule="exact"/>
        <w:rPr>
          <w:sz w:val="20"/>
          <w:szCs w:val="20"/>
          <w:color w:val="auto"/>
        </w:rPr>
      </w:pPr>
    </w:p>
    <w:p>
      <w:pPr>
        <w:ind w:firstLine="319"/>
        <w:spacing w:after="0" w:line="266" w:lineRule="auto"/>
        <w:rPr>
          <w:sz w:val="20"/>
          <w:szCs w:val="20"/>
          <w:color w:val="auto"/>
        </w:rPr>
      </w:pPr>
      <w:r>
        <w:rPr>
          <w:rFonts w:ascii="Times New Roman" w:cs="Times New Roman" w:eastAsia="Times New Roman" w:hAnsi="Times New Roman"/>
          <w:sz w:val="17"/>
          <w:szCs w:val="17"/>
          <w:color w:val="auto"/>
        </w:rPr>
        <w:t>The October 2025 Authorization, which expires on December 31, 2028, authorized the repurchase of up to $750.0 million of our common stock from time to time on the open market or in privately negotiated transactions. Stock repurchases, if any, will be funded using our available liquidity. The timing and amount of stock repurchases are dependent on a variety of factors, including but not limited to, market conditions and corporate and regulatory considerations.</w:t>
      </w:r>
    </w:p>
    <w:p>
      <w:pPr>
        <w:spacing w:after="0" w:line="200" w:lineRule="exact"/>
        <w:rPr>
          <w:sz w:val="20"/>
          <w:szCs w:val="20"/>
          <w:color w:val="auto"/>
        </w:rPr>
      </w:pPr>
    </w:p>
    <w:p>
      <w:pPr>
        <w:ind w:right="380" w:firstLine="319"/>
        <w:spacing w:after="0" w:line="275" w:lineRule="auto"/>
        <w:rPr>
          <w:sz w:val="20"/>
          <w:szCs w:val="20"/>
          <w:color w:val="auto"/>
        </w:rPr>
      </w:pPr>
      <w:r>
        <w:rPr>
          <w:rFonts w:ascii="Times New Roman" w:cs="Times New Roman" w:eastAsia="Times New Roman" w:hAnsi="Times New Roman"/>
          <w:sz w:val="18"/>
          <w:szCs w:val="18"/>
          <w:color w:val="auto"/>
        </w:rPr>
        <w:t>We did not repurchase any shares of our common stock during the nine months ended September 30, 2026. As of September 30, 2026, the remaining availability under our October 2025 Authorization was $750.0 million.</w:t>
      </w:r>
    </w:p>
    <w:p>
      <w:pPr>
        <w:spacing w:after="0" w:line="1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shares withheld to pay taxes due upon the vesting of employee restricted stock.</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0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20" w:type="dxa"/>
            <w:vAlign w:val="bottom"/>
          </w:tcPr>
          <w:p>
            <w:pPr>
              <w:spacing w:after="0"/>
              <w:rPr>
                <w:sz w:val="16"/>
                <w:szCs w:val="16"/>
                <w:color w:val="auto"/>
              </w:rPr>
            </w:pPr>
          </w:p>
        </w:tc>
        <w:tc>
          <w:tcPr>
            <w:tcW w:w="1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Average Price Per Share</w:t>
            </w:r>
          </w:p>
        </w:tc>
        <w:tc>
          <w:tcPr>
            <w:tcW w:w="0" w:type="dxa"/>
            <w:vAlign w:val="bottom"/>
          </w:tcPr>
          <w:p>
            <w:pPr>
              <w:spacing w:after="0"/>
              <w:rPr>
                <w:sz w:val="1"/>
                <w:szCs w:val="1"/>
                <w:color w:val="auto"/>
              </w:rPr>
            </w:pPr>
          </w:p>
        </w:tc>
      </w:tr>
      <w:tr>
        <w:trPr>
          <w:trHeight w:val="211"/>
        </w:trPr>
        <w:tc>
          <w:tcPr>
            <w:tcW w:w="760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Withheld</w:t>
            </w:r>
          </w:p>
        </w:tc>
        <w:tc>
          <w:tcPr>
            <w:tcW w:w="12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July 1, 2026 - July 31, 2026</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86,938</w:t>
            </w:r>
          </w:p>
        </w:tc>
        <w:tc>
          <w:tcPr>
            <w:tcW w:w="8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21.36</w:t>
            </w:r>
          </w:p>
        </w:tc>
        <w:tc>
          <w:tcPr>
            <w:tcW w:w="0" w:type="dxa"/>
            <w:vAlign w:val="bottom"/>
          </w:tcPr>
          <w:p>
            <w:pPr>
              <w:spacing w:after="0"/>
              <w:rPr>
                <w:sz w:val="1"/>
                <w:szCs w:val="1"/>
                <w:color w:val="auto"/>
              </w:rPr>
            </w:pPr>
          </w:p>
        </w:tc>
      </w:tr>
      <w:tr>
        <w:trPr>
          <w:trHeight w:val="236"/>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August 1, 2026 - August 31, 2026</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28,258</w:t>
            </w:r>
          </w:p>
        </w:tc>
        <w:tc>
          <w:tcPr>
            <w:tcW w:w="84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19.49</w:t>
            </w:r>
          </w:p>
        </w:tc>
        <w:tc>
          <w:tcPr>
            <w:tcW w:w="0" w:type="dxa"/>
            <w:vAlign w:val="bottom"/>
          </w:tcPr>
          <w:p>
            <w:pPr>
              <w:spacing w:after="0"/>
              <w:rPr>
                <w:sz w:val="1"/>
                <w:szCs w:val="1"/>
                <w:color w:val="auto"/>
              </w:rPr>
            </w:pPr>
          </w:p>
        </w:tc>
      </w:tr>
      <w:tr>
        <w:trPr>
          <w:trHeight w:val="23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1, 2026 - September 30, 2026</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48,837</w:t>
            </w:r>
          </w:p>
        </w:tc>
        <w:tc>
          <w:tcPr>
            <w:tcW w:w="8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16.95</w:t>
            </w:r>
          </w:p>
        </w:tc>
        <w:tc>
          <w:tcPr>
            <w:tcW w:w="0" w:type="dxa"/>
            <w:vAlign w:val="bottom"/>
          </w:tcPr>
          <w:p>
            <w:pPr>
              <w:spacing w:after="0"/>
              <w:rPr>
                <w:sz w:val="1"/>
                <w:szCs w:val="1"/>
                <w:color w:val="auto"/>
              </w:rPr>
            </w:pPr>
          </w:p>
        </w:tc>
      </w:tr>
      <w:tr>
        <w:trPr>
          <w:trHeight w:val="222"/>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164,033</w:t>
            </w:r>
          </w:p>
        </w:tc>
        <w:tc>
          <w:tcPr>
            <w:tcW w:w="84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19.73</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180" w:lineRule="exact"/>
        <w:rPr>
          <w:sz w:val="20"/>
          <w:szCs w:val="20"/>
          <w:color w:val="auto"/>
        </w:rPr>
      </w:pPr>
    </w:p>
    <w:p>
      <w:pPr>
        <w:ind w:right="80" w:firstLine="319"/>
        <w:spacing w:after="0" w:line="260" w:lineRule="auto"/>
        <w:rPr>
          <w:sz w:val="20"/>
          <w:szCs w:val="20"/>
          <w:color w:val="auto"/>
        </w:rPr>
      </w:pPr>
      <w:r>
        <w:rPr>
          <w:rFonts w:ascii="Times New Roman" w:cs="Times New Roman" w:eastAsia="Times New Roman" w:hAnsi="Times New Roman"/>
          <w:sz w:val="18"/>
          <w:szCs w:val="18"/>
          <w:color w:val="auto"/>
        </w:rPr>
        <w:t>During the three months ended September 30, 2026, none of the Company’s directors or executive officers adopted, modified or terminated any contract, instruction or written plan for the purchase or sale of the Company’s securities that was intended to satisfy the affirmative defense conditions of Rule 10b5-1(c) or any “non-Rule 10b5-1 trading arrangement” as defined in Item 408(a) of Regulation S-K.</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187960</wp:posOffset>
            </wp:positionV>
            <wp:extent cx="716026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0" w:type="dxa"/>
            <w:vAlign w:val="bottom"/>
          </w:tcPr>
          <w:p>
            <w:pPr>
              <w:spacing w:after="0"/>
              <w:rPr>
                <w:sz w:val="20"/>
                <w:szCs w:val="20"/>
                <w:color w:val="auto"/>
              </w:rPr>
            </w:pPr>
          </w:p>
        </w:tc>
        <w:tc>
          <w:tcPr>
            <w:tcW w:w="101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32"/>
        </w:trPr>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16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0000FF"/>
                <w:w w:val="98"/>
              </w:rPr>
              <w:t>CEO Certification pursuant to Exchange Act Rules 13a-14(a) and 15d-14(a), as adopted pursuant to Section 302 of the Sarbanes-Oxley Act of</w:t>
            </w:r>
          </w:p>
        </w:tc>
      </w:tr>
      <w:tr>
        <w:trPr>
          <w:trHeight w:val="166"/>
        </w:trPr>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Borders>
              <w:top w:val="single" w:sz="8" w:color="0000FF"/>
              <w:bottom w:val="single" w:sz="8" w:color="0000FF"/>
            </w:tcBorders>
            <w:gridSpan w:val="2"/>
          </w:tcPr>
          <w:p>
            <w:pPr>
              <w:spacing w:after="0" w:line="166" w:lineRule="exact"/>
              <w:rPr>
                <w:sz w:val="20"/>
                <w:szCs w:val="20"/>
                <w:color w:val="auto"/>
              </w:rPr>
            </w:pPr>
            <w:r>
              <w:rPr>
                <w:rFonts w:ascii="Times New Roman" w:cs="Times New Roman" w:eastAsia="Times New Roman" w:hAnsi="Times New Roman"/>
                <w:sz w:val="18"/>
                <w:szCs w:val="18"/>
                <w:color w:val="0000FF"/>
                <w:w w:val="98"/>
              </w:rPr>
              <w:t>2002.</w:t>
            </w:r>
          </w:p>
        </w:tc>
        <w:tc>
          <w:tcPr>
            <w:tcW w:w="85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08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r>
      <w:tr>
        <w:trPr>
          <w:trHeight w:val="272"/>
        </w:trPr>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1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CFO Certification pursuant to Exchange Act Rules 13a-14(a) and 15d-14(a), as adopted pursuant to Section 302 of the Sarbanes-Oxley Act of</w:t>
            </w:r>
          </w:p>
        </w:tc>
      </w:tr>
      <w:tr>
        <w:trPr>
          <w:trHeight w:val="166"/>
        </w:trPr>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Borders>
              <w:top w:val="single" w:sz="8" w:color="0000FF"/>
              <w:bottom w:val="single" w:sz="8" w:color="0000FF"/>
            </w:tcBorders>
          </w:tcPr>
          <w:p>
            <w:pPr>
              <w:spacing w:after="0" w:line="166" w:lineRule="exact"/>
              <w:rPr>
                <w:sz w:val="20"/>
                <w:szCs w:val="20"/>
                <w:color w:val="auto"/>
              </w:rPr>
            </w:pPr>
            <w:r>
              <w:rPr>
                <w:rFonts w:ascii="Times New Roman" w:cs="Times New Roman" w:eastAsia="Times New Roman" w:hAnsi="Times New Roman"/>
                <w:sz w:val="18"/>
                <w:szCs w:val="18"/>
                <w:color w:val="0000FF"/>
                <w:w w:val="93"/>
              </w:rPr>
              <w:t>2002.</w:t>
            </w:r>
          </w:p>
        </w:tc>
        <w:tc>
          <w:tcPr>
            <w:tcW w:w="20" w:type="dxa"/>
            <w:vAlign w:val="bottom"/>
            <w:tcBorders>
              <w:top w:val="single" w:sz="8" w:color="0000FF"/>
            </w:tcBorders>
          </w:tcPr>
          <w:p>
            <w:pPr>
              <w:spacing w:after="0"/>
              <w:rPr>
                <w:sz w:val="14"/>
                <w:szCs w:val="14"/>
                <w:color w:val="auto"/>
              </w:rPr>
            </w:pPr>
          </w:p>
        </w:tc>
        <w:tc>
          <w:tcPr>
            <w:tcW w:w="85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08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r>
      <w:tr>
        <w:trPr>
          <w:trHeight w:val="272"/>
        </w:trPr>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9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CEO Certification pursuant to 18 U.S.C. Section 1350, as adopted pursuant to Section 906 of the Sarbanes-Oxley Act of 2002.</w:t>
            </w:r>
          </w:p>
        </w:tc>
        <w:tc>
          <w:tcPr>
            <w:tcW w:w="1180" w:type="dxa"/>
            <w:vAlign w:val="bottom"/>
            <w:gridSpan w:val="2"/>
          </w:tcPr>
          <w:p>
            <w:pPr>
              <w:spacing w:after="0"/>
              <w:rPr>
                <w:sz w:val="23"/>
                <w:szCs w:val="23"/>
                <w:color w:val="auto"/>
              </w:rPr>
            </w:pPr>
          </w:p>
        </w:tc>
      </w:tr>
      <w:tr>
        <w:trPr>
          <w:trHeight w:val="272"/>
        </w:trPr>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9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CFO Certification pursuant to 18 U.S.C. Section 1350, as adopted pursuant to Section 906 of the Sarbanes-Oxley Act of 2002.</w:t>
            </w:r>
          </w:p>
        </w:tc>
        <w:tc>
          <w:tcPr>
            <w:tcW w:w="1200" w:type="dxa"/>
            <w:vAlign w:val="bottom"/>
            <w:gridSpan w:val="3"/>
          </w:tcPr>
          <w:p>
            <w:pPr>
              <w:spacing w:after="0"/>
              <w:rPr>
                <w:sz w:val="23"/>
                <w:szCs w:val="23"/>
                <w:color w:val="auto"/>
              </w:rPr>
            </w:pPr>
          </w:p>
        </w:tc>
      </w:tr>
      <w:tr>
        <w:trPr>
          <w:trHeight w:val="267"/>
        </w:trPr>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3"/>
                <w:szCs w:val="23"/>
                <w:color w:val="auto"/>
              </w:rPr>
            </w:pPr>
          </w:p>
        </w:tc>
        <w:tc>
          <w:tcPr>
            <w:tcW w:w="101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 within</w:t>
            </w:r>
          </w:p>
        </w:tc>
      </w:tr>
      <w:tr>
        <w:trPr>
          <w:trHeight w:val="232"/>
        </w:trPr>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Inline XBRL document.</w:t>
            </w:r>
          </w:p>
        </w:tc>
      </w:tr>
      <w:tr>
        <w:trPr>
          <w:trHeight w:val="292"/>
        </w:trPr>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101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92"/>
        </w:trPr>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101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92"/>
        </w:trPr>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101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92"/>
        </w:trPr>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101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60" w:lineRule="exact"/>
        <w:rPr>
          <w:sz w:val="20"/>
          <w:szCs w:val="20"/>
          <w:color w:val="auto"/>
        </w:rPr>
      </w:pPr>
    </w:p>
    <w:p>
      <w:pPr>
        <w:ind w:left="860" w:right="6220" w:hanging="181"/>
        <w:spacing w:after="0" w:line="338" w:lineRule="auto"/>
        <w:tabs>
          <w:tab w:leader="none" w:pos="107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Inline XBRL File (included in Exhibit 101) * Filed herewith.</w:t>
      </w:r>
    </w:p>
    <w:p>
      <w:pPr>
        <w:spacing w:after="0" w:line="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179705</wp:posOffset>
            </wp:positionV>
            <wp:extent cx="716026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0" w:lineRule="exact"/>
        <w:rPr>
          <w:sz w:val="20"/>
          <w:szCs w:val="20"/>
          <w:color w:val="auto"/>
        </w:rPr>
      </w:pPr>
    </w:p>
    <w:p>
      <w:pPr>
        <w:ind w:right="280" w:firstLine="319"/>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PENN Entertainment, Inc.</w:t>
      </w:r>
    </w:p>
    <w:p>
      <w:pPr>
        <w:spacing w:after="0" w:line="32" w:lineRule="exact"/>
        <w:rPr>
          <w:sz w:val="20"/>
          <w:szCs w:val="20"/>
          <w:color w:val="auto"/>
        </w:rPr>
      </w:pPr>
    </w:p>
    <w:p>
      <w:pPr>
        <w:ind w:left="340"/>
        <w:spacing w:after="0"/>
        <w:tabs>
          <w:tab w:leader="none" w:pos="1040" w:val="left"/>
          <w:tab w:leader="none" w:pos="5600" w:val="left"/>
          <w:tab w:leader="none" w:pos="8040" w:val="left"/>
        </w:tabs>
        <w:rPr>
          <w:sz w:val="20"/>
          <w:szCs w:val="20"/>
          <w:color w:val="auto"/>
        </w:rPr>
      </w:pPr>
      <w:r>
        <w:rPr>
          <w:rFonts w:ascii="Times New Roman" w:cs="Times New Roman" w:eastAsia="Times New Roman" w:hAnsi="Times New Roman"/>
          <w:sz w:val="18"/>
          <w:szCs w:val="18"/>
          <w:color w:val="auto"/>
        </w:rPr>
        <w:t>Dated:</w:t>
        <w:tab/>
        <w:t>November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Felicia R. Hendrix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3891915</wp:posOffset>
            </wp:positionH>
            <wp:positionV relativeFrom="paragraph">
              <wp:posOffset>15240</wp:posOffset>
            </wp:positionV>
            <wp:extent cx="330898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5" w:lineRule="exact"/>
        <w:rPr>
          <w:sz w:val="20"/>
          <w:szCs w:val="20"/>
          <w:color w:val="auto"/>
        </w:rPr>
      </w:pPr>
    </w:p>
    <w:p>
      <w:pPr>
        <w:jc w:val="center"/>
        <w:ind w:left="6400"/>
        <w:spacing w:after="0"/>
        <w:rPr>
          <w:sz w:val="20"/>
          <w:szCs w:val="20"/>
          <w:color w:val="auto"/>
        </w:rPr>
      </w:pPr>
      <w:r>
        <w:rPr>
          <w:rFonts w:ascii="Times New Roman" w:cs="Times New Roman" w:eastAsia="Times New Roman" w:hAnsi="Times New Roman"/>
          <w:sz w:val="18"/>
          <w:szCs w:val="18"/>
          <w:color w:val="auto"/>
        </w:rPr>
        <w:t>Felicia R. Hendrix</w:t>
      </w:r>
    </w:p>
    <w:p>
      <w:pPr>
        <w:spacing w:after="0" w:line="30" w:lineRule="exact"/>
        <w:rPr>
          <w:sz w:val="20"/>
          <w:szCs w:val="20"/>
          <w:color w:val="auto"/>
        </w:rPr>
      </w:pPr>
    </w:p>
    <w:p>
      <w:pPr>
        <w:jc w:val="center"/>
        <w:ind w:left="6400"/>
        <w:spacing w:after="0"/>
        <w:rPr>
          <w:sz w:val="20"/>
          <w:szCs w:val="20"/>
          <w:color w:val="auto"/>
        </w:rPr>
      </w:pPr>
      <w:r>
        <w:rPr>
          <w:rFonts w:ascii="Times New Roman" w:cs="Times New Roman" w:eastAsia="Times New Roman" w:hAnsi="Times New Roman"/>
          <w:sz w:val="17"/>
          <w:szCs w:val="17"/>
          <w:i w:val="1"/>
          <w:iCs w:val="1"/>
          <w:color w:val="auto"/>
        </w:rPr>
        <w:t>Executive Vice President and Chief Financial Officer</w:t>
      </w:r>
    </w:p>
    <w:p>
      <w:pPr>
        <w:spacing w:after="0" w:line="44" w:lineRule="exact"/>
        <w:rPr>
          <w:sz w:val="20"/>
          <w:szCs w:val="20"/>
          <w:color w:val="auto"/>
        </w:rPr>
      </w:pPr>
    </w:p>
    <w:p>
      <w:pPr>
        <w:jc w:val="center"/>
        <w:ind w:left="640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0720"/>
          </w:cols>
          <w:pgMar w:left="320" w:top="121" w:right="85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Jay A. Snowden, certify that:</w:t>
      </w:r>
    </w:p>
    <w:p>
      <w:pPr>
        <w:spacing w:after="0" w:line="178" w:lineRule="exact"/>
        <w:rPr>
          <w:sz w:val="20"/>
          <w:szCs w:val="20"/>
          <w:color w:val="auto"/>
        </w:rPr>
      </w:pPr>
    </w:p>
    <w:p>
      <w:pPr>
        <w:ind w:left="320" w:hanging="314"/>
        <w:spacing w:after="0"/>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PENN Entertainment, Inc.;</w:t>
      </w:r>
    </w:p>
    <w:p>
      <w:pPr>
        <w:spacing w:after="0" w:line="178" w:lineRule="exact"/>
        <w:rPr>
          <w:rFonts w:ascii="Times New Roman" w:cs="Times New Roman" w:eastAsia="Times New Roman" w:hAnsi="Times New Roman"/>
          <w:sz w:val="18"/>
          <w:szCs w:val="18"/>
          <w:color w:val="auto"/>
        </w:rPr>
      </w:pPr>
    </w:p>
    <w:p>
      <w:pPr>
        <w:ind w:left="320" w:hanging="314"/>
        <w:spacing w:after="0" w:line="305" w:lineRule="auto"/>
        <w:tabs>
          <w:tab w:leader="none" w:pos="3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4" w:lineRule="exact"/>
        <w:rPr>
          <w:rFonts w:ascii="Times New Roman" w:cs="Times New Roman" w:eastAsia="Times New Roman" w:hAnsi="Times New Roman"/>
          <w:sz w:val="17"/>
          <w:szCs w:val="17"/>
          <w:color w:val="auto"/>
        </w:rPr>
      </w:pPr>
    </w:p>
    <w:p>
      <w:pPr>
        <w:ind w:left="320" w:hanging="314"/>
        <w:spacing w:after="0" w:line="275" w:lineRule="auto"/>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Times New Roman" w:cs="Times New Roman" w:eastAsia="Times New Roman" w:hAnsi="Times New Roman"/>
          <w:sz w:val="18"/>
          <w:szCs w:val="18"/>
          <w:color w:val="auto"/>
        </w:rPr>
      </w:pPr>
    </w:p>
    <w:p>
      <w:pPr>
        <w:jc w:val="both"/>
        <w:ind w:left="320" w:hanging="314"/>
        <w:spacing w:after="0" w:line="260" w:lineRule="auto"/>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7" w:lineRule="exact"/>
        <w:rPr>
          <w:rFonts w:ascii="Times New Roman" w:cs="Times New Roman" w:eastAsia="Times New Roman" w:hAnsi="Times New Roman"/>
          <w:sz w:val="18"/>
          <w:szCs w:val="18"/>
          <w:color w:val="auto"/>
        </w:rPr>
      </w:pPr>
    </w:p>
    <w:p>
      <w:pPr>
        <w:jc w:val="both"/>
        <w:ind w:left="640" w:hanging="315"/>
        <w:spacing w:after="0" w:line="260" w:lineRule="auto"/>
        <w:tabs>
          <w:tab w:leader="none" w:pos="63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0" w:lineRule="exact"/>
        <w:rPr>
          <w:rFonts w:ascii="Times New Roman" w:cs="Times New Roman" w:eastAsia="Times New Roman" w:hAnsi="Times New Roman"/>
          <w:sz w:val="18"/>
          <w:szCs w:val="18"/>
          <w:color w:val="auto"/>
        </w:rPr>
      </w:pPr>
    </w:p>
    <w:p>
      <w:pPr>
        <w:jc w:val="both"/>
        <w:ind w:left="640" w:hanging="315"/>
        <w:spacing w:after="0" w:line="260" w:lineRule="auto"/>
        <w:tabs>
          <w:tab w:leader="none" w:pos="6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7" w:lineRule="exact"/>
        <w:rPr>
          <w:rFonts w:ascii="Times New Roman" w:cs="Times New Roman" w:eastAsia="Times New Roman" w:hAnsi="Times New Roman"/>
          <w:sz w:val="18"/>
          <w:szCs w:val="18"/>
          <w:color w:val="auto"/>
        </w:rPr>
      </w:pPr>
    </w:p>
    <w:p>
      <w:pPr>
        <w:ind w:left="640" w:hanging="315"/>
        <w:spacing w:after="0" w:line="275" w:lineRule="auto"/>
        <w:tabs>
          <w:tab w:leader="none" w:pos="63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Times New Roman" w:cs="Times New Roman" w:eastAsia="Times New Roman" w:hAnsi="Times New Roman"/>
          <w:sz w:val="18"/>
          <w:szCs w:val="18"/>
          <w:color w:val="auto"/>
        </w:rPr>
      </w:pPr>
    </w:p>
    <w:p>
      <w:pPr>
        <w:jc w:val="both"/>
        <w:ind w:left="640" w:hanging="315"/>
        <w:spacing w:after="0" w:line="260" w:lineRule="auto"/>
        <w:tabs>
          <w:tab w:leader="none" w:pos="6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150" w:lineRule="exact"/>
        <w:rPr>
          <w:rFonts w:ascii="Times New Roman" w:cs="Times New Roman" w:eastAsia="Times New Roman" w:hAnsi="Times New Roman"/>
          <w:sz w:val="18"/>
          <w:szCs w:val="18"/>
          <w:color w:val="auto"/>
        </w:rPr>
      </w:pPr>
    </w:p>
    <w:p>
      <w:pPr>
        <w:ind w:left="320" w:hanging="314"/>
        <w:spacing w:after="0" w:line="275" w:lineRule="auto"/>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Times New Roman" w:cs="Times New Roman" w:eastAsia="Times New Roman" w:hAnsi="Times New Roman"/>
          <w:sz w:val="18"/>
          <w:szCs w:val="18"/>
          <w:color w:val="auto"/>
        </w:rPr>
      </w:pPr>
    </w:p>
    <w:p>
      <w:pPr>
        <w:ind w:left="640" w:hanging="315"/>
        <w:spacing w:after="0" w:line="275" w:lineRule="auto"/>
        <w:tabs>
          <w:tab w:leader="none" w:pos="63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Times New Roman" w:cs="Times New Roman" w:eastAsia="Times New Roman" w:hAnsi="Times New Roman"/>
          <w:sz w:val="18"/>
          <w:szCs w:val="18"/>
          <w:color w:val="auto"/>
        </w:rPr>
      </w:pPr>
    </w:p>
    <w:p>
      <w:pPr>
        <w:ind w:left="640" w:hanging="315"/>
        <w:spacing w:after="0" w:line="275" w:lineRule="auto"/>
        <w:tabs>
          <w:tab w:leader="none" w:pos="6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89" w:lineRule="exact"/>
        <w:rPr>
          <w:sz w:val="20"/>
          <w:szCs w:val="20"/>
          <w:color w:val="auto"/>
        </w:rPr>
      </w:pPr>
    </w:p>
    <w:p>
      <w:pPr>
        <w:ind w:left="2180"/>
        <w:spacing w:after="0"/>
        <w:tabs>
          <w:tab w:leader="none" w:pos="2740" w:val="left"/>
          <w:tab w:leader="none" w:pos="6680" w:val="left"/>
        </w:tabs>
        <w:rPr>
          <w:sz w:val="20"/>
          <w:szCs w:val="20"/>
          <w:color w:val="auto"/>
        </w:rPr>
      </w:pPr>
      <w:r>
        <w:rPr>
          <w:rFonts w:ascii="Times New Roman" w:cs="Times New Roman" w:eastAsia="Times New Roman" w:hAnsi="Times New Roman"/>
          <w:sz w:val="18"/>
          <w:szCs w:val="18"/>
          <w:color w:val="auto"/>
        </w:rPr>
        <w:t>Date:</w:t>
        <w:tab/>
        <w:t>November 5, 2026</w:t>
      </w:r>
      <w:r>
        <w:rPr>
          <w:sz w:val="20"/>
          <w:szCs w:val="20"/>
          <w:color w:val="auto"/>
        </w:rPr>
        <w:tab/>
      </w:r>
      <w:r>
        <w:rPr>
          <w:rFonts w:ascii="Times New Roman" w:cs="Times New Roman" w:eastAsia="Times New Roman" w:hAnsi="Times New Roman"/>
          <w:sz w:val="17"/>
          <w:szCs w:val="17"/>
          <w:color w:val="auto"/>
        </w:rPr>
        <w:t>/s/ Jay A. Snowden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4245610</wp:posOffset>
            </wp:positionH>
            <wp:positionV relativeFrom="paragraph">
              <wp:posOffset>15240</wp:posOffset>
            </wp:positionV>
            <wp:extent cx="28924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892425" cy="8255"/>
                    </a:xfrm>
                    <a:prstGeom prst="rect">
                      <a:avLst/>
                    </a:prstGeom>
                    <a:noFill/>
                  </pic:spPr>
                </pic:pic>
              </a:graphicData>
            </a:graphic>
          </wp:anchor>
        </w:drawing>
      </w:r>
    </w:p>
    <w:p>
      <w:pPr>
        <w:spacing w:after="0" w:line="25"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Jay A. Snowden</w:t>
      </w:r>
    </w:p>
    <w:p>
      <w:pPr>
        <w:spacing w:after="0" w:line="45"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Chief Executive Officer, President, and Director</w:t>
      </w:r>
    </w:p>
    <w:p>
      <w:pPr>
        <w:spacing w:after="0" w:line="45"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76"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Felicia R. Hendrix, certify that:</w:t>
      </w:r>
    </w:p>
    <w:p>
      <w:pPr>
        <w:spacing w:after="0" w:line="178" w:lineRule="exact"/>
        <w:rPr>
          <w:sz w:val="20"/>
          <w:szCs w:val="20"/>
          <w:color w:val="auto"/>
        </w:rPr>
      </w:pPr>
    </w:p>
    <w:p>
      <w:pPr>
        <w:ind w:left="320" w:hanging="314"/>
        <w:spacing w:after="0"/>
        <w:tabs>
          <w:tab w:leader="none" w:pos="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PENN Entertainment, Inc.;</w:t>
      </w:r>
    </w:p>
    <w:p>
      <w:pPr>
        <w:spacing w:after="0" w:line="178" w:lineRule="exact"/>
        <w:rPr>
          <w:rFonts w:ascii="Times New Roman" w:cs="Times New Roman" w:eastAsia="Times New Roman" w:hAnsi="Times New Roman"/>
          <w:sz w:val="18"/>
          <w:szCs w:val="18"/>
          <w:color w:val="auto"/>
        </w:rPr>
      </w:pPr>
    </w:p>
    <w:p>
      <w:pPr>
        <w:ind w:left="320" w:hanging="314"/>
        <w:spacing w:after="0" w:line="305" w:lineRule="auto"/>
        <w:tabs>
          <w:tab w:leader="none" w:pos="3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4" w:lineRule="exact"/>
        <w:rPr>
          <w:rFonts w:ascii="Times New Roman" w:cs="Times New Roman" w:eastAsia="Times New Roman" w:hAnsi="Times New Roman"/>
          <w:sz w:val="17"/>
          <w:szCs w:val="17"/>
          <w:color w:val="auto"/>
        </w:rPr>
      </w:pPr>
    </w:p>
    <w:p>
      <w:pPr>
        <w:ind w:left="320" w:hanging="314"/>
        <w:spacing w:after="0" w:line="275" w:lineRule="auto"/>
        <w:tabs>
          <w:tab w:leader="none" w:pos="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Times New Roman" w:cs="Times New Roman" w:eastAsia="Times New Roman" w:hAnsi="Times New Roman"/>
          <w:sz w:val="18"/>
          <w:szCs w:val="18"/>
          <w:color w:val="auto"/>
        </w:rPr>
      </w:pPr>
    </w:p>
    <w:p>
      <w:pPr>
        <w:jc w:val="both"/>
        <w:ind w:left="320" w:hanging="314"/>
        <w:spacing w:after="0" w:line="260" w:lineRule="auto"/>
        <w:tabs>
          <w:tab w:leader="none" w:pos="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7" w:lineRule="exact"/>
        <w:rPr>
          <w:rFonts w:ascii="Times New Roman" w:cs="Times New Roman" w:eastAsia="Times New Roman" w:hAnsi="Times New Roman"/>
          <w:sz w:val="18"/>
          <w:szCs w:val="18"/>
          <w:color w:val="auto"/>
        </w:rPr>
      </w:pPr>
    </w:p>
    <w:p>
      <w:pPr>
        <w:jc w:val="both"/>
        <w:ind w:left="640" w:hanging="315"/>
        <w:spacing w:after="0" w:line="260" w:lineRule="auto"/>
        <w:tabs>
          <w:tab w:leader="none" w:pos="63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0" w:lineRule="exact"/>
        <w:rPr>
          <w:rFonts w:ascii="Times New Roman" w:cs="Times New Roman" w:eastAsia="Times New Roman" w:hAnsi="Times New Roman"/>
          <w:sz w:val="18"/>
          <w:szCs w:val="18"/>
          <w:color w:val="auto"/>
        </w:rPr>
      </w:pPr>
    </w:p>
    <w:p>
      <w:pPr>
        <w:jc w:val="both"/>
        <w:ind w:left="640" w:hanging="315"/>
        <w:spacing w:after="0" w:line="260" w:lineRule="auto"/>
        <w:tabs>
          <w:tab w:leader="none" w:pos="6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7" w:lineRule="exact"/>
        <w:rPr>
          <w:rFonts w:ascii="Times New Roman" w:cs="Times New Roman" w:eastAsia="Times New Roman" w:hAnsi="Times New Roman"/>
          <w:sz w:val="18"/>
          <w:szCs w:val="18"/>
          <w:color w:val="auto"/>
        </w:rPr>
      </w:pPr>
    </w:p>
    <w:p>
      <w:pPr>
        <w:ind w:left="640" w:hanging="315"/>
        <w:spacing w:after="0" w:line="275" w:lineRule="auto"/>
        <w:tabs>
          <w:tab w:leader="none" w:pos="63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Times New Roman" w:cs="Times New Roman" w:eastAsia="Times New Roman" w:hAnsi="Times New Roman"/>
          <w:sz w:val="18"/>
          <w:szCs w:val="18"/>
          <w:color w:val="auto"/>
        </w:rPr>
      </w:pPr>
    </w:p>
    <w:p>
      <w:pPr>
        <w:jc w:val="both"/>
        <w:ind w:left="640" w:hanging="315"/>
        <w:spacing w:after="0" w:line="260" w:lineRule="auto"/>
        <w:tabs>
          <w:tab w:leader="none" w:pos="6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150" w:lineRule="exact"/>
        <w:rPr>
          <w:rFonts w:ascii="Times New Roman" w:cs="Times New Roman" w:eastAsia="Times New Roman" w:hAnsi="Times New Roman"/>
          <w:sz w:val="18"/>
          <w:szCs w:val="18"/>
          <w:color w:val="auto"/>
        </w:rPr>
      </w:pPr>
    </w:p>
    <w:p>
      <w:pPr>
        <w:ind w:left="320" w:hanging="314"/>
        <w:spacing w:after="0" w:line="275" w:lineRule="auto"/>
        <w:tabs>
          <w:tab w:leader="none" w:pos="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Times New Roman" w:cs="Times New Roman" w:eastAsia="Times New Roman" w:hAnsi="Times New Roman"/>
          <w:sz w:val="18"/>
          <w:szCs w:val="18"/>
          <w:color w:val="auto"/>
        </w:rPr>
      </w:pPr>
    </w:p>
    <w:p>
      <w:pPr>
        <w:ind w:left="640" w:hanging="315"/>
        <w:spacing w:after="0" w:line="275" w:lineRule="auto"/>
        <w:tabs>
          <w:tab w:leader="none" w:pos="63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Times New Roman" w:cs="Times New Roman" w:eastAsia="Times New Roman" w:hAnsi="Times New Roman"/>
          <w:sz w:val="18"/>
          <w:szCs w:val="18"/>
          <w:color w:val="auto"/>
        </w:rPr>
      </w:pPr>
    </w:p>
    <w:p>
      <w:pPr>
        <w:ind w:left="640" w:hanging="315"/>
        <w:spacing w:after="0" w:line="275" w:lineRule="auto"/>
        <w:tabs>
          <w:tab w:leader="none" w:pos="6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89" w:lineRule="exact"/>
        <w:rPr>
          <w:sz w:val="20"/>
          <w:szCs w:val="20"/>
          <w:color w:val="auto"/>
        </w:rPr>
      </w:pPr>
    </w:p>
    <w:p>
      <w:pPr>
        <w:ind w:left="2180"/>
        <w:spacing w:after="0"/>
        <w:tabs>
          <w:tab w:leader="none" w:pos="2740" w:val="left"/>
          <w:tab w:leader="none" w:pos="6680" w:val="left"/>
        </w:tabs>
        <w:rPr>
          <w:sz w:val="20"/>
          <w:szCs w:val="20"/>
          <w:color w:val="auto"/>
        </w:rPr>
      </w:pPr>
      <w:r>
        <w:rPr>
          <w:rFonts w:ascii="Times New Roman" w:cs="Times New Roman" w:eastAsia="Times New Roman" w:hAnsi="Times New Roman"/>
          <w:sz w:val="18"/>
          <w:szCs w:val="18"/>
          <w:color w:val="auto"/>
        </w:rPr>
        <w:t>Date:</w:t>
        <w:tab/>
        <w:t>November 5, 2026</w:t>
      </w:r>
      <w:r>
        <w:rPr>
          <w:sz w:val="20"/>
          <w:szCs w:val="20"/>
          <w:color w:val="auto"/>
        </w:rPr>
        <w:tab/>
      </w:r>
      <w:r>
        <w:rPr>
          <w:rFonts w:ascii="Times New Roman" w:cs="Times New Roman" w:eastAsia="Times New Roman" w:hAnsi="Times New Roman"/>
          <w:sz w:val="17"/>
          <w:szCs w:val="17"/>
          <w:color w:val="auto"/>
        </w:rPr>
        <w:t>/s/ Felicia R. Hendrix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4245610</wp:posOffset>
            </wp:positionH>
            <wp:positionV relativeFrom="paragraph">
              <wp:posOffset>15240</wp:posOffset>
            </wp:positionV>
            <wp:extent cx="28924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892425" cy="8255"/>
                    </a:xfrm>
                    <a:prstGeom prst="rect">
                      <a:avLst/>
                    </a:prstGeom>
                    <a:noFill/>
                  </pic:spPr>
                </pic:pic>
              </a:graphicData>
            </a:graphic>
          </wp:anchor>
        </w:drawing>
      </w:r>
    </w:p>
    <w:p>
      <w:pPr>
        <w:spacing w:after="0" w:line="25"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Felicia R. Hendrix</w:t>
      </w:r>
    </w:p>
    <w:p>
      <w:pPr>
        <w:spacing w:after="0" w:line="45"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45"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876"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72"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In connection with the Quarterly Report of PENN Entertainment, Inc. (the “Company”) on Form 10-Q for the quarter ended September 30, 2026 as filed with the U.S. Securities and Exchange Commission on the date hereof (the “Report”), I, Jay A. Snowden, Chief Executive Officer and President of the Company, certify, pursuant to Section 906 of the Sarbanes-Oxley Act of 2002, 18 U.S.C. Section 1350 that, to my knowledge:</w:t>
      </w:r>
    </w:p>
    <w:p>
      <w:pPr>
        <w:spacing w:after="0" w:line="137" w:lineRule="exact"/>
        <w:rPr>
          <w:sz w:val="20"/>
          <w:szCs w:val="20"/>
          <w:color w:val="auto"/>
        </w:rPr>
      </w:pPr>
    </w:p>
    <w:p>
      <w:pPr>
        <w:ind w:left="960" w:hanging="316"/>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8" w:lineRule="exact"/>
        <w:rPr>
          <w:rFonts w:ascii="Times New Roman" w:cs="Times New Roman" w:eastAsia="Times New Roman" w:hAnsi="Times New Roman"/>
          <w:sz w:val="18"/>
          <w:szCs w:val="18"/>
          <w:color w:val="auto"/>
        </w:rPr>
      </w:pPr>
    </w:p>
    <w:p>
      <w:pPr>
        <w:ind w:left="960" w:hanging="316"/>
        <w:spacing w:after="0"/>
        <w:tabs>
          <w:tab w:leader="none" w:pos="96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5" w:lineRule="exact"/>
        <w:rPr>
          <w:sz w:val="20"/>
          <w:szCs w:val="20"/>
          <w:color w:val="auto"/>
        </w:rPr>
      </w:pPr>
    </w:p>
    <w:p>
      <w:pPr>
        <w:ind w:left="2180"/>
        <w:spacing w:after="0"/>
        <w:tabs>
          <w:tab w:leader="none" w:pos="2740" w:val="left"/>
          <w:tab w:leader="none" w:pos="6680" w:val="left"/>
        </w:tabs>
        <w:rPr>
          <w:sz w:val="20"/>
          <w:szCs w:val="20"/>
          <w:color w:val="auto"/>
        </w:rPr>
      </w:pPr>
      <w:r>
        <w:rPr>
          <w:rFonts w:ascii="Times New Roman" w:cs="Times New Roman" w:eastAsia="Times New Roman" w:hAnsi="Times New Roman"/>
          <w:sz w:val="18"/>
          <w:szCs w:val="18"/>
          <w:color w:val="auto"/>
        </w:rPr>
        <w:t>Date:</w:t>
        <w:tab/>
        <w:t>November 5, 2026</w:t>
      </w:r>
      <w:r>
        <w:rPr>
          <w:sz w:val="20"/>
          <w:szCs w:val="20"/>
          <w:color w:val="auto"/>
        </w:rPr>
        <w:tab/>
      </w:r>
      <w:r>
        <w:rPr>
          <w:rFonts w:ascii="Times New Roman" w:cs="Times New Roman" w:eastAsia="Times New Roman" w:hAnsi="Times New Roman"/>
          <w:sz w:val="17"/>
          <w:szCs w:val="17"/>
          <w:color w:val="auto"/>
        </w:rPr>
        <w:t>/s/ Jay A. Snowden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4245610</wp:posOffset>
            </wp:positionH>
            <wp:positionV relativeFrom="paragraph">
              <wp:posOffset>15240</wp:posOffset>
            </wp:positionV>
            <wp:extent cx="28924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892425" cy="8255"/>
                    </a:xfrm>
                    <a:prstGeom prst="rect">
                      <a:avLst/>
                    </a:prstGeom>
                    <a:noFill/>
                  </pic:spPr>
                </pic:pic>
              </a:graphicData>
            </a:graphic>
          </wp:anchor>
        </w:drawing>
      </w:r>
    </w:p>
    <w:p>
      <w:pPr>
        <w:spacing w:after="0" w:line="25"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Jay A. Snowden</w:t>
      </w:r>
    </w:p>
    <w:p>
      <w:pPr>
        <w:spacing w:after="0" w:line="45"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Chief Executive Officer, President, and Director</w:t>
      </w:r>
    </w:p>
    <w:p>
      <w:pPr>
        <w:spacing w:after="0" w:line="45"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76"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72"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In connection with the Quarterly Report of PENN Entertainment, Inc. (the “Company”) on Form 10-Q for the quarter ended September 30, 2026 as filed with the U.S. Securities and Exchange Commission on the date hereof (the “Report”), I, Felicia R. Hendrix, Executive Vice President and Chief Financial Officer of the Company, certify, pursuant to Section 906 of the Sarbanes-Oxley Act of 2002, 18 U.S.C. Section 1350 that, to my knowledge:</w:t>
      </w:r>
    </w:p>
    <w:p>
      <w:pPr>
        <w:spacing w:after="0" w:line="137" w:lineRule="exact"/>
        <w:rPr>
          <w:sz w:val="20"/>
          <w:szCs w:val="20"/>
          <w:color w:val="auto"/>
        </w:rPr>
      </w:pPr>
    </w:p>
    <w:p>
      <w:pPr>
        <w:ind w:left="960" w:hanging="316"/>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8" w:lineRule="exact"/>
        <w:rPr>
          <w:rFonts w:ascii="Times New Roman" w:cs="Times New Roman" w:eastAsia="Times New Roman" w:hAnsi="Times New Roman"/>
          <w:sz w:val="18"/>
          <w:szCs w:val="18"/>
          <w:color w:val="auto"/>
        </w:rPr>
      </w:pPr>
    </w:p>
    <w:p>
      <w:pPr>
        <w:ind w:left="960" w:hanging="316"/>
        <w:spacing w:after="0"/>
        <w:tabs>
          <w:tab w:leader="none" w:pos="96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5" w:lineRule="exact"/>
        <w:rPr>
          <w:sz w:val="20"/>
          <w:szCs w:val="20"/>
          <w:color w:val="auto"/>
        </w:rPr>
      </w:pPr>
    </w:p>
    <w:p>
      <w:pPr>
        <w:ind w:left="2180"/>
        <w:spacing w:after="0"/>
        <w:tabs>
          <w:tab w:leader="none" w:pos="2740" w:val="left"/>
          <w:tab w:leader="none" w:pos="6680" w:val="left"/>
        </w:tabs>
        <w:rPr>
          <w:sz w:val="20"/>
          <w:szCs w:val="20"/>
          <w:color w:val="auto"/>
        </w:rPr>
      </w:pPr>
      <w:r>
        <w:rPr>
          <w:rFonts w:ascii="Times New Roman" w:cs="Times New Roman" w:eastAsia="Times New Roman" w:hAnsi="Times New Roman"/>
          <w:sz w:val="18"/>
          <w:szCs w:val="18"/>
          <w:color w:val="auto"/>
        </w:rPr>
        <w:t>Date:</w:t>
        <w:tab/>
        <w:t>November 5, 2026</w:t>
      </w:r>
      <w:r>
        <w:rPr>
          <w:sz w:val="20"/>
          <w:szCs w:val="20"/>
          <w:color w:val="auto"/>
        </w:rPr>
        <w:tab/>
      </w:r>
      <w:r>
        <w:rPr>
          <w:rFonts w:ascii="Times New Roman" w:cs="Times New Roman" w:eastAsia="Times New Roman" w:hAnsi="Times New Roman"/>
          <w:sz w:val="17"/>
          <w:szCs w:val="17"/>
          <w:color w:val="auto"/>
        </w:rPr>
        <w:t>/s/ Felicia R. Hendrix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4245610</wp:posOffset>
            </wp:positionH>
            <wp:positionV relativeFrom="paragraph">
              <wp:posOffset>15240</wp:posOffset>
            </wp:positionV>
            <wp:extent cx="28924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892425" cy="8255"/>
                    </a:xfrm>
                    <a:prstGeom prst="rect">
                      <a:avLst/>
                    </a:prstGeom>
                    <a:noFill/>
                  </pic:spPr>
                </pic:pic>
              </a:graphicData>
            </a:graphic>
          </wp:anchor>
        </w:drawing>
      </w:r>
    </w:p>
    <w:p>
      <w:pPr>
        <w:spacing w:after="0" w:line="25"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Felicia R. Hendrix</w:t>
      </w:r>
    </w:p>
    <w:p>
      <w:pPr>
        <w:spacing w:after="0" w:line="45"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45"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8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decimal"/>
      <w:start w:val="1"/>
    </w:lvl>
  </w:abstractNum>
  <w:abstractNum w:abstractNumId="3">
    <w:nsid w:val="3F2DBA31"/>
    <w:multiLevelType w:val="hybridMultilevel"/>
    <w:lvl w:ilvl="0">
      <w:lvlJc w:val="left"/>
      <w:lvlText w:val="(%1)"/>
      <w:numFmt w:val="decimal"/>
      <w:start w:val="2"/>
    </w:lvl>
  </w:abstractNum>
  <w:abstractNum w:abstractNumId="4">
    <w:nsid w:val="7C83E458"/>
    <w:multiLevelType w:val="hybridMultilevel"/>
    <w:lvl w:ilvl="0">
      <w:lvlJc w:val="left"/>
      <w:lvlText w:val="(%1)"/>
      <w:numFmt w:val="lowerRoman"/>
      <w:start w:val="3"/>
    </w:lvl>
  </w:abstractNum>
  <w:abstractNum w:abstractNumId="5">
    <w:nsid w:val="257130A3"/>
    <w:multiLevelType w:val="hybridMultilevel"/>
    <w:lvl w:ilvl="0">
      <w:lvlJc w:val="left"/>
      <w:lvlText w:val="(%1)"/>
      <w:numFmt w:val="decimal"/>
      <w:start w:val="1"/>
    </w:lvl>
  </w:abstractNum>
  <w:abstractNum w:abstractNumId="6">
    <w:nsid w:val="62BBD95A"/>
    <w:multiLevelType w:val="hybridMultilevel"/>
    <w:lvl w:ilvl="0">
      <w:lvlJc w:val="left"/>
      <w:lvlText w:val="(%1)"/>
      <w:numFmt w:val="decimal"/>
      <w:start w:val="1"/>
    </w:lvl>
  </w:abstractNum>
  <w:abstractNum w:abstractNumId="7">
    <w:nsid w:val="436C6125"/>
    <w:multiLevelType w:val="hybridMultilevel"/>
    <w:lvl w:ilvl="0">
      <w:lvlJc w:val="left"/>
      <w:lvlText w:val="(%1)"/>
      <w:numFmt w:val="decimal"/>
      <w:start w:val="1"/>
    </w:lvl>
  </w:abstractNum>
  <w:abstractNum w:abstractNumId="8">
    <w:nsid w:val="628C895D"/>
    <w:multiLevelType w:val="hybridMultilevel"/>
    <w:lvl w:ilvl="0">
      <w:lvlJc w:val="left"/>
      <w:lvlText w:val="(%1)"/>
      <w:numFmt w:val="decimal"/>
      <w:start w:val="1"/>
    </w:lvl>
  </w:abstractNum>
  <w:abstractNum w:abstractNumId="9">
    <w:nsid w:val="333AB105"/>
    <w:multiLevelType w:val="hybridMultilevel"/>
    <w:lvl w:ilvl="0">
      <w:lvlJc w:val="left"/>
      <w:lvlText w:val="(%1)"/>
      <w:numFmt w:val="decimal"/>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1)"/>
      <w:numFmt w:val="decimal"/>
      <w:start w:val="1"/>
    </w:lvl>
    <w:lvl w:ilvl="1">
      <w:lvlJc w:val="left"/>
      <w:lvlText w:val="%2."/>
      <w:numFmt w:val="lowerLetter"/>
      <w:start w:val="1"/>
    </w:lvl>
  </w:abstractNum>
  <w:abstractNum w:abstractNumId="13">
    <w:nsid w:val="6763845E"/>
    <w:multiLevelType w:val="hybridMultilevel"/>
    <w:lvl w:ilvl="0">
      <w:lvlJc w:val="left"/>
      <w:lvlText w:val="(%1)"/>
      <w:numFmt w:val="decimal"/>
      <w:start w:val="5"/>
    </w:lvl>
  </w:abstractNum>
  <w:abstractNum w:abstractNumId="14">
    <w:nsid w:val="75A2A8D4"/>
    <w:multiLevelType w:val="hybridMultilevel"/>
    <w:lvl w:ilvl="0">
      <w:lvlJc w:val="left"/>
      <w:lvlText w:val="(%1)"/>
      <w:numFmt w:val="decimal"/>
      <w:start w:val="1"/>
    </w:lvl>
    <w:lvl w:ilvl="1">
      <w:lvlJc w:val="left"/>
      <w:lvlText w:val="%2."/>
      <w:numFmt w:val="lowerLetter"/>
      <w:start w:val="1"/>
    </w:lvl>
  </w:abstractNum>
  <w:abstractNum w:abstractNumId="15">
    <w:nsid w:val="8EDBDAB"/>
    <w:multiLevelType w:val="hybridMultilevel"/>
    <w:lvl w:ilvl="0">
      <w:lvlJc w:val="left"/>
      <w:lvlText w:val="%1"/>
      <w:numFmt w:val="decimal"/>
      <w:start w:val="1"/>
    </w:lvl>
    <w:lvl w:ilvl="1">
      <w:lvlJc w:val="left"/>
      <w:lvlText w:val="%2."/>
      <w:numFmt w:val="lowerLetter"/>
      <w:start w:val="3"/>
    </w:lvl>
  </w:abstractNum>
  <w:abstractNum w:abstractNumId="16">
    <w:nsid w:val="79838CB2"/>
    <w:multiLevelType w:val="hybridMultilevel"/>
    <w:lvl w:ilvl="0">
      <w:lvlJc w:val="left"/>
      <w:lvlText w:val="(%1)"/>
      <w:numFmt w:val="decimal"/>
      <w:start w:val="5"/>
    </w:lvl>
    <w:lvl w:ilvl="1">
      <w:lvlJc w:val="left"/>
      <w:lvlText w:val="%2"/>
      <w:numFmt w:val="lowerLetter"/>
      <w:start w:val="1"/>
    </w:lvl>
  </w:abstractNum>
  <w:abstractNum w:abstractNumId="17">
    <w:nsid w:val="4353D0CD"/>
    <w:multiLevelType w:val="hybridMultilevel"/>
    <w:lvl w:ilvl="0">
      <w:lvlJc w:val="left"/>
      <w:lvlText w:val="(%1)"/>
      <w:numFmt w:val="decimal"/>
      <w:start w:val="1"/>
    </w:lvl>
  </w:abstractNum>
  <w:abstractNum w:abstractNumId="18">
    <w:nsid w:val="B03E0C6"/>
    <w:multiLevelType w:val="hybridMultilevel"/>
    <w:lvl w:ilvl="0">
      <w:lvlJc w:val="left"/>
      <w:lvlText w:val="(%1)"/>
      <w:numFmt w:val="decimal"/>
      <w:start w:val="3"/>
    </w:lvl>
    <w:lvl w:ilvl="1">
      <w:lvlJc w:val="left"/>
      <w:lvlText w:val="%2."/>
      <w:numFmt w:val="lowerLetter"/>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1)"/>
      <w:numFmt w:val="decimal"/>
      <w:start w:val="1"/>
    </w:lvl>
    <w:lvl w:ilvl="1">
      <w:lvlJc w:val="left"/>
      <w:lvlText w:val="%2."/>
      <w:numFmt w:val="lowerLetter"/>
      <w:start w:val="1"/>
    </w:lvl>
  </w:abstractNum>
  <w:abstractNum w:abstractNumId="21">
    <w:nsid w:val="71F32454"/>
    <w:multiLevelType w:val="hybridMultilevel"/>
    <w:lvl w:ilvl="0">
      <w:lvlJc w:val="left"/>
      <w:lvlText w:val="(%1)"/>
      <w:numFmt w:val="decimal"/>
      <w:start w:val="5"/>
    </w:lvl>
  </w:abstractNum>
  <w:abstractNum w:abstractNumId="22">
    <w:nsid w:val="2CA88611"/>
    <w:multiLevelType w:val="hybridMultilevel"/>
    <w:lvl w:ilvl="0">
      <w:lvlJc w:val="left"/>
      <w:lvlText w:val="(%1)"/>
      <w:numFmt w:val="decimal"/>
      <w:start w:val="1"/>
    </w:lvl>
  </w:abstractNum>
  <w:abstractNum w:abstractNumId="23">
    <w:nsid w:val="836C40E"/>
    <w:multiLevelType w:val="hybridMultilevel"/>
    <w:lvl w:ilvl="0">
      <w:lvlJc w:val="left"/>
      <w:lvlText w:val="(%1)"/>
      <w:numFmt w:val="decimal"/>
      <w:start w:val="1"/>
    </w:lvl>
  </w:abstractNum>
  <w:abstractNum w:abstractNumId="24">
    <w:nsid w:val="2901D82"/>
    <w:multiLevelType w:val="hybridMultilevel"/>
    <w:lvl w:ilvl="0">
      <w:lvlJc w:val="left"/>
      <w:lvlText w:val="(%1)"/>
      <w:numFmt w:val="decimal"/>
      <w:start w:val="1"/>
    </w:lvl>
  </w:abstractNum>
  <w:abstractNum w:abstractNumId="25">
    <w:nsid w:val="3A95F874"/>
    <w:multiLevelType w:val="hybridMultilevel"/>
    <w:lvl w:ilvl="0">
      <w:lvlJc w:val="left"/>
      <w:lvlText w:val="(%1)"/>
      <w:numFmt w:val="decimal"/>
      <w:start w:val="1"/>
    </w:lvl>
  </w:abstractNum>
  <w:abstractNum w:abstractNumId="26">
    <w:nsid w:val="8138641"/>
    <w:multiLevelType w:val="hybridMultilevel"/>
    <w:lvl w:ilvl="0">
      <w:lvlJc w:val="left"/>
      <w:lvlText w:val="(%1)"/>
      <w:numFmt w:val="decimal"/>
      <w:start w:val="1"/>
    </w:lvl>
  </w:abstractNum>
  <w:abstractNum w:abstractNumId="27">
    <w:nsid w:val="1E7FF521"/>
    <w:multiLevelType w:val="hybridMultilevel"/>
    <w:lvl w:ilvl="0">
      <w:lvlJc w:val="left"/>
      <w:lvlText w:val="(%1)"/>
      <w:numFmt w:val="decimal"/>
      <w:start w:val="1"/>
    </w:lvl>
  </w:abstractNum>
  <w:abstractNum w:abstractNumId="28">
    <w:nsid w:val="7C3DBD3D"/>
    <w:multiLevelType w:val="hybridMultilevel"/>
    <w:lvl w:ilvl="0">
      <w:lvlJc w:val="left"/>
      <w:lvlText w:val="%1"/>
      <w:numFmt w:val="decimal"/>
      <w:start w:val="104"/>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2026-11-05T15:26:56Z</dcterms:created>
  <dcterms:modified xsi:type="dcterms:W3CDTF">2026-11-05T15:26:56Z</dcterms:modified>
</cp:coreProperties>
</file>