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April 23, 2026</w:t>
      </w:r>
    </w:p>
    <w:p>
      <w:pPr>
        <w:spacing w:after="0" w:line="2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___________________________________________________________________</w:t>
      </w:r>
      <w:r>
        <w:rPr>
          <w:rFonts w:ascii="Times New Roman" w:cs="Times New Roman" w:eastAsia="Times New Roman" w:hAnsi="Times New Roman"/>
          <w:sz w:val="21"/>
          <w:szCs w:val="21"/>
          <w:b w:val="1"/>
          <w:bCs w:val="1"/>
          <w:color w:val="auto"/>
        </w:rPr>
        <w:t>__________________</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PENN Entertainment,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8"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_____________________________________________________________________________________</w:t>
      </w:r>
    </w:p>
    <w:p>
      <w:pPr>
        <w:spacing w:after="0" w:line="142"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2460" w:type="dxa"/>
            <w:vAlign w:val="bottom"/>
          </w:tcPr>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Pennsylvania</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0-24206</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23-2234473</w:t>
            </w:r>
          </w:p>
        </w:tc>
      </w:tr>
      <w:tr>
        <w:trPr>
          <w:trHeight w:val="168"/>
        </w:trPr>
        <w:tc>
          <w:tcPr>
            <w:tcW w:w="2460" w:type="dxa"/>
            <w:vAlign w:val="bottom"/>
          </w:tcPr>
          <w:p>
            <w:pPr>
              <w:jc w:val="center"/>
              <w:ind w:right="43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46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(Commission File</w:t>
            </w:r>
          </w:p>
        </w:tc>
        <w:tc>
          <w:tcPr>
            <w:tcW w:w="25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 Identification</w:t>
            </w:r>
          </w:p>
        </w:tc>
      </w:tr>
      <w:tr>
        <w:trPr>
          <w:trHeight w:val="210"/>
        </w:trPr>
        <w:tc>
          <w:tcPr>
            <w:tcW w:w="2460" w:type="dxa"/>
            <w:vAlign w:val="bottom"/>
          </w:tcPr>
          <w:p>
            <w:pPr>
              <w:jc w:val="center"/>
              <w:ind w:right="439"/>
              <w:spacing w:after="0"/>
              <w:rPr>
                <w:sz w:val="20"/>
                <w:szCs w:val="20"/>
                <w:color w:val="auto"/>
              </w:rPr>
            </w:pPr>
            <w:r>
              <w:rPr>
                <w:rFonts w:ascii="Times New Roman" w:cs="Times New Roman" w:eastAsia="Times New Roman" w:hAnsi="Times New Roman"/>
                <w:sz w:val="16"/>
                <w:szCs w:val="16"/>
                <w:color w:val="auto"/>
              </w:rPr>
              <w:t>Incorporation)</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Number)</w:t>
            </w:r>
          </w:p>
        </w:tc>
        <w:tc>
          <w:tcPr>
            <w:tcW w:w="25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No.)</w:t>
            </w:r>
          </w:p>
        </w:tc>
      </w:tr>
      <w:tr>
        <w:trPr>
          <w:trHeight w:val="516"/>
        </w:trPr>
        <w:tc>
          <w:tcPr>
            <w:tcW w:w="2460" w:type="dxa"/>
            <w:vAlign w:val="bottom"/>
          </w:tcPr>
          <w:p>
            <w:pPr>
              <w:spacing w:after="0"/>
              <w:rPr>
                <w:sz w:val="24"/>
                <w:szCs w:val="24"/>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825 Berkshire Blvd., Suite 200</w:t>
            </w:r>
          </w:p>
        </w:tc>
        <w:tc>
          <w:tcPr>
            <w:tcW w:w="2520" w:type="dxa"/>
            <w:vAlign w:val="bottom"/>
          </w:tcPr>
          <w:p>
            <w:pPr>
              <w:spacing w:after="0"/>
              <w:rPr>
                <w:sz w:val="24"/>
                <w:szCs w:val="24"/>
                <w:color w:val="auto"/>
              </w:rPr>
            </w:pPr>
          </w:p>
        </w:tc>
      </w:tr>
      <w:tr>
        <w:trPr>
          <w:trHeight w:val="191"/>
        </w:trPr>
        <w:tc>
          <w:tcPr>
            <w:tcW w:w="2460" w:type="dxa"/>
            <w:vAlign w:val="bottom"/>
          </w:tcPr>
          <w:p>
            <w:pPr>
              <w:spacing w:after="0"/>
              <w:rPr>
                <w:sz w:val="16"/>
                <w:szCs w:val="16"/>
                <w:color w:val="auto"/>
              </w:rPr>
            </w:pP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Wyomissing, PA 19610</w:t>
            </w:r>
          </w:p>
        </w:tc>
        <w:tc>
          <w:tcPr>
            <w:tcW w:w="2520" w:type="dxa"/>
            <w:vAlign w:val="bottom"/>
          </w:tcPr>
          <w:p>
            <w:pPr>
              <w:spacing w:after="0"/>
              <w:rPr>
                <w:sz w:val="16"/>
                <w:szCs w:val="16"/>
                <w:color w:val="auto"/>
              </w:rPr>
            </w:pPr>
          </w:p>
        </w:tc>
      </w:tr>
      <w:tr>
        <w:trPr>
          <w:trHeight w:val="210"/>
        </w:trPr>
        <w:tc>
          <w:tcPr>
            <w:tcW w:w="2460" w:type="dxa"/>
            <w:vAlign w:val="bottom"/>
          </w:tcPr>
          <w:p>
            <w:pPr>
              <w:spacing w:after="0"/>
              <w:rPr>
                <w:sz w:val="18"/>
                <w:szCs w:val="18"/>
                <w:color w:val="auto"/>
              </w:rPr>
            </w:pPr>
          </w:p>
        </w:tc>
        <w:tc>
          <w:tcPr>
            <w:tcW w:w="46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tc>
        <w:tc>
          <w:tcPr>
            <w:tcW w:w="2520" w:type="dxa"/>
            <w:vAlign w:val="bottom"/>
          </w:tcPr>
          <w:p>
            <w:pPr>
              <w:spacing w:after="0"/>
              <w:rPr>
                <w:sz w:val="18"/>
                <w:szCs w:val="18"/>
                <w:color w:val="auto"/>
              </w:rPr>
            </w:pPr>
          </w:p>
        </w:tc>
      </w:tr>
    </w:tbl>
    <w:p>
      <w:pPr>
        <w:spacing w:after="0" w:line="23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610-373-2400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159" w:lineRule="exact"/>
        <w:rPr>
          <w:sz w:val="24"/>
          <w:szCs w:val="24"/>
          <w:color w:val="auto"/>
        </w:rPr>
      </w:pPr>
    </w:p>
    <w:p>
      <w:pPr>
        <w:ind w:left="380" w:hanging="332"/>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 pursuant to Rule 425 under the Securities Act (17 CFR 230.425)</w:t>
      </w:r>
    </w:p>
    <w:p>
      <w:pPr>
        <w:spacing w:after="0" w:line="167"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80"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14d-2(b) under the Exchange Act (17 CFR 240.14d-2(b))</w:t>
      </w:r>
    </w:p>
    <w:p>
      <w:pPr>
        <w:spacing w:after="0" w:line="167" w:lineRule="exact"/>
        <w:rPr>
          <w:rFonts w:ascii="MS PGothic" w:cs="MS PGothic" w:eastAsia="MS PGothic" w:hAnsi="MS PGothic"/>
          <w:sz w:val="16"/>
          <w:szCs w:val="16"/>
          <w:color w:val="auto"/>
        </w:rPr>
      </w:pPr>
    </w:p>
    <w:p>
      <w:pPr>
        <w:jc w:val="right"/>
        <w:ind w:left="3760" w:right="3700" w:hanging="3712"/>
        <w:spacing w:after="0" w:line="449" w:lineRule="auto"/>
        <w:tabs>
          <w:tab w:leader="none" w:pos="3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 pursuant to Rule 13e-4(c) under the Exchange Act (17 CFR 240.13e-4(c)) Securities registered pursuant to Section 12(b) of the Act:</w:t>
      </w:r>
    </w:p>
    <w:tbl>
      <w:tblPr>
        <w:tblLayout w:type="fixed"/>
        <w:tblInd w:w="30" w:type="dxa"/>
        <w:tblCellMar>
          <w:top w:w="0" w:type="dxa"/>
          <w:left w:w="0" w:type="dxa"/>
          <w:bottom w:w="0" w:type="dxa"/>
          <w:right w:w="0" w:type="dxa"/>
        </w:tblCellMar>
      </w:tblPr>
      <w:tr>
        <w:trPr>
          <w:trHeight w:val="207"/>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1"/>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PENN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229" w:lineRule="exact"/>
        <w:rPr>
          <w:sz w:val="24"/>
          <w:szCs w:val="24"/>
          <w:color w:val="auto"/>
        </w:rPr>
      </w:pPr>
    </w:p>
    <w:p>
      <w:pPr>
        <w:ind w:right="2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4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7"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96"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On April 23, 2026, PENN Entertainment, Inc. (the “Company”) issued a press release announcing the results of operations and financial condition for the three months ended March 31, 2026. A copy of this press release is being furnished as Exhibit 99.1 to this Current Report on Form 8-K.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 Exhibits.</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Description of Exhibit</w:t>
            </w:r>
          </w:p>
        </w:tc>
        <w:tc>
          <w:tcPr>
            <w:tcW w:w="0" w:type="dxa"/>
            <w:vAlign w:val="bottom"/>
          </w:tcPr>
          <w:p>
            <w:pPr>
              <w:spacing w:after="0"/>
              <w:rPr>
                <w:sz w:val="1"/>
                <w:szCs w:val="1"/>
                <w:color w:val="auto"/>
              </w:rPr>
            </w:pPr>
          </w:p>
        </w:tc>
      </w:tr>
      <w:tr>
        <w:trPr>
          <w:trHeight w:val="212"/>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520"/>
        <w:spacing w:after="0"/>
        <w:tabs>
          <w:tab w:leader="none" w:pos="94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dated April 23, 2026 of PENN Entertainment, Inc.</w:t>
      </w:r>
    </w:p>
    <w:p>
      <w:pPr>
        <w:spacing w:after="0" w:line="32" w:lineRule="exact"/>
        <w:rPr>
          <w:sz w:val="20"/>
          <w:szCs w:val="20"/>
          <w:color w:val="auto"/>
        </w:rPr>
      </w:pPr>
    </w:p>
    <w:p>
      <w:pPr>
        <w:ind w:left="960" w:hanging="396"/>
        <w:spacing w:after="0"/>
        <w:tabs>
          <w:tab w:leader="none" w:pos="9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12529"/>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62"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220"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92" w:lineRule="exact"/>
        <w:rPr>
          <w:sz w:val="20"/>
          <w:szCs w:val="20"/>
          <w:color w:val="auto"/>
        </w:rPr>
      </w:pPr>
    </w:p>
    <w:p>
      <w:pPr>
        <w:ind w:left="20"/>
        <w:spacing w:after="0"/>
        <w:tabs>
          <w:tab w:leader="none" w:pos="720" w:val="left"/>
          <w:tab w:leader="none" w:pos="484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April 23, 2026</w:t>
      </w:r>
      <w:r>
        <w:rPr>
          <w:sz w:val="20"/>
          <w:szCs w:val="20"/>
          <w:color w:val="auto"/>
        </w:rPr>
        <w:tab/>
      </w:r>
      <w:r>
        <w:rPr>
          <w:rFonts w:ascii="Times New Roman" w:cs="Times New Roman" w:eastAsia="Times New Roman" w:hAnsi="Times New Roman"/>
          <w:sz w:val="16"/>
          <w:szCs w:val="16"/>
          <w:color w:val="auto"/>
        </w:rPr>
        <w:t>PENN Entertainment, Inc.</w:t>
      </w:r>
    </w:p>
    <w:p>
      <w:pPr>
        <w:spacing w:after="0" w:line="302" w:lineRule="exact"/>
        <w:rPr>
          <w:sz w:val="20"/>
          <w:szCs w:val="20"/>
          <w:color w:val="auto"/>
        </w:rPr>
      </w:pPr>
    </w:p>
    <w:tbl>
      <w:tblPr>
        <w:tblLayout w:type="fixed"/>
        <w:tblInd w:w="4860" w:type="dxa"/>
        <w:tblCellMar>
          <w:top w:w="0" w:type="dxa"/>
          <w:left w:w="0" w:type="dxa"/>
          <w:bottom w:w="0" w:type="dxa"/>
          <w:right w:w="0" w:type="dxa"/>
        </w:tblCellMar>
      </w:tblPr>
      <w:tr>
        <w:trPr>
          <w:trHeight w:val="213"/>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5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Christopher Rogers</w:t>
            </w:r>
          </w:p>
        </w:tc>
      </w:tr>
      <w:tr>
        <w:trPr>
          <w:trHeight w:val="207"/>
        </w:trPr>
        <w:tc>
          <w:tcPr>
            <w:tcW w:w="860" w:type="dxa"/>
            <w:vAlign w:val="bottom"/>
          </w:tcPr>
          <w:p>
            <w:pPr>
              <w:spacing w:after="0"/>
              <w:rPr>
                <w:sz w:val="17"/>
                <w:szCs w:val="17"/>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Christopher Rogers</w:t>
            </w:r>
          </w:p>
        </w:tc>
      </w:tr>
      <w:tr>
        <w:trPr>
          <w:trHeight w:val="229"/>
        </w:trPr>
        <w:tc>
          <w:tcPr>
            <w:tcW w:w="86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Vice President, Chief Strategy and Legal Officer and Secretary</w:t>
            </w:r>
          </w:p>
        </w:tc>
      </w:tr>
    </w:tbl>
    <w:p>
      <w:pPr>
        <w:sectPr>
          <w:pgSz w:w="11900" w:h="16838" w:orient="portrait"/>
          <w:cols w:equalWidth="0" w:num="1">
            <w:col w:w="11240"/>
          </w:cols>
          <w:pgMar w:left="320" w:top="89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634365</wp:posOffset>
            </wp:positionV>
            <wp:extent cx="3429000" cy="1560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00" cy="156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 Entertainment, Inc. Reports First Quarter Results</w:t>
      </w: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WYOMISSING, PA (April 23, 2026) - PENN Entertainment, Inc. (“PENN” or the “Company”) (Nasdaq: PENN) today reported financial results for the quarter ended March 31, 2026.</w:t>
      </w:r>
    </w:p>
    <w:p>
      <w:pPr>
        <w:spacing w:after="0" w:line="11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Jay Snowden, Chief Executive Officer and President, said: “We are pleased to report another solid quarter. Retail Segment Adjusted EBITDAR grew year-over-year and stable trends are carrying into April. In our Interactive segment, continued online casino growth combined with positive trends in Ontario are driving momentum as we prepare for the anticipated July 13 launch of regulated iCasino and online sports betting in Alberta</w:t>
      </w:r>
      <w:r>
        <w:rPr>
          <w:rFonts w:ascii="Arial" w:cs="Arial" w:eastAsia="Arial" w:hAnsi="Arial"/>
          <w:sz w:val="25"/>
          <w:szCs w:val="25"/>
          <w:color w:val="auto"/>
          <w:vertAlign w:val="superscript"/>
        </w:rPr>
        <w:t>1</w:t>
      </w:r>
      <w:r>
        <w:rPr>
          <w:rFonts w:ascii="Arial" w:cs="Arial" w:eastAsia="Arial" w:hAnsi="Arial"/>
          <w:sz w:val="20"/>
          <w:szCs w:val="20"/>
          <w:color w:val="auto"/>
        </w:rPr>
        <w:t>. Importantly, we are executing on the plan we outlined last quarter, driving Retail and Interactive growth, optimizing corporate overhead, making disciplined capital investments, and continuing to delever.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Retail Segment Highlights</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w:t>
      </w:r>
    </w:p>
    <w:p>
      <w:pPr>
        <w:spacing w:after="0" w:line="13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Revenues of $1.4 billion;</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Segment Adjusted EBITDAR of $471.4 million; and</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Segment Adjusted EBITDAR margins of 33.2%.</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“Trends were encouraging across the portfolio, with strength in our West segment reflecting the continued ramp of M Resort’s new hotel tower and strong execution by the team at Ameristar Casino Resort and Spa in Black Hawk, Colorado,” said Mr. Snowden. “Increased visitation and higher spend per visit companywide supported year-over-year theoretical revenue growth across all rated worth segments, representing our largest quarterly increase in three years. We recently announced the June opening dates</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for the new hotel tower at Hollywood Columbus and the new Hollywood Casino Aurora and remain excited about the anticipated returns on our development project investments based on the success to date from our recent openings at Hollywood Casino Joliet and M Resort.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Interactive Segment Highlights:</w:t>
      </w:r>
    </w:p>
    <w:p>
      <w:pPr>
        <w:spacing w:after="0" w:line="191"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Revenues of $358.3 million (including tax gross up of $185.8 million); and</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loss of $10.8 million.</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Interactive segment delivered a meaningful Adjusted EBITDA improvement year-over-year, which marks the first full quarter under our realigned digital strategy. iCasino revenue growth of approximately 15% year-over-year was driven by the continued momentum of standalone iCasino, which notably achieved record quarterly revenue in the first quarter as well as record monthly revenue in March. The trends we are seeing provide us with confidence in the trajectory of the business and upcoming launch in Alberta</w:t>
      </w:r>
      <w:r>
        <w:rPr>
          <w:rFonts w:ascii="Arial" w:cs="Arial" w:eastAsia="Arial" w:hAnsi="Arial"/>
          <w:sz w:val="25"/>
          <w:szCs w:val="25"/>
          <w:color w:val="auto"/>
          <w:vertAlign w:val="superscript"/>
        </w:rPr>
        <w:t>1</w:t>
      </w:r>
      <w:r>
        <w:rPr>
          <w:rFonts w:ascii="Arial" w:cs="Arial" w:eastAsia="Arial" w:hAnsi="Arial"/>
          <w:sz w:val="20"/>
          <w:szCs w:val="20"/>
          <w:color w:val="auto"/>
        </w:rPr>
        <w:t>,” concluded Mr. Snowden.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171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3"/>
          <w:szCs w:val="23"/>
          <w:color w:val="auto"/>
          <w:vertAlign w:val="superscript"/>
        </w:rPr>
      </w:pPr>
      <w:r>
        <w:rPr>
          <w:rFonts w:ascii="Arial" w:cs="Arial" w:eastAsia="Arial" w:hAnsi="Arial"/>
          <w:sz w:val="14"/>
          <w:szCs w:val="14"/>
          <w:color w:val="auto"/>
        </w:rPr>
        <w:t>Subject to regulatory approvals.</w:t>
      </w:r>
    </w:p>
    <w:p>
      <w:pPr>
        <w:ind w:left="120" w:hanging="112"/>
        <w:spacing w:after="0" w:line="199" w:lineRule="auto"/>
        <w:tabs>
          <w:tab w:leader="none" w:pos="120" w:val="left"/>
        </w:tabs>
        <w:numPr>
          <w:ilvl w:val="0"/>
          <w:numId w:val="6"/>
        </w:numPr>
        <w:rPr>
          <w:rFonts w:ascii="Arial" w:cs="Arial" w:eastAsia="Arial" w:hAnsi="Arial"/>
          <w:sz w:val="23"/>
          <w:szCs w:val="23"/>
          <w:color w:val="auto"/>
          <w:vertAlign w:val="superscript"/>
        </w:rPr>
      </w:pPr>
      <w:r>
        <w:rPr>
          <w:rFonts w:ascii="Arial" w:cs="Arial" w:eastAsia="Arial" w:hAnsi="Arial"/>
          <w:sz w:val="14"/>
          <w:szCs w:val="14"/>
          <w:color w:val="auto"/>
        </w:rPr>
        <w:t>Retail Segment consists of retail operating segments which are composed of our Northeast, South, West, and Midwest reportable segments.</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Liquidity and Financial Position</w:t>
      </w:r>
    </w:p>
    <w:p>
      <w:pPr>
        <w:spacing w:after="0" w:line="191"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On March 16, 2026, the Company issued $600.0 million of unsecured notes due 2031 at an interest rate of 6.75%. Net proceeds were used to repay borrowings under PENN’s revolving credit facility.</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Total liquidity as of March 31, 2026 was $1.7 billion inclusive of $708.0 million in Cash and cash equivalents. Traditional net debt as of the end of the quarter was $2.2 billion.</w:t>
      </w:r>
    </w:p>
    <w:p>
      <w:pPr>
        <w:spacing w:after="0" w:line="129"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On April 16, 2026, the Company amended its Second Amended and Restated Credit Agreement in order to refinance and extend the term of its $1.0 billion Amended Revolving Credit Facility and $446.9 million Amended Term Loan A Facility. The Company’s existing Amended Term Loan B Facility was not refinanced as part of this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First Quarter Results</w:t>
      </w:r>
    </w:p>
    <w:p>
      <w:pPr>
        <w:spacing w:after="0" w:line="234"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1,672.5</w:t>
            </w:r>
          </w:p>
        </w:tc>
      </w:tr>
      <w:tr>
        <w:trPr>
          <w:trHeight w:val="229"/>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57"/>
        </w:trPr>
        <w:tc>
          <w:tcPr>
            <w:tcW w:w="20" w:type="dxa"/>
            <w:vAlign w:val="bottom"/>
            <w:shd w:val="clear" w:color="auto" w:fill="CCEEFF"/>
          </w:tcPr>
          <w:p>
            <w:pPr>
              <w:spacing w:after="0"/>
              <w:rPr>
                <w:sz w:val="22"/>
                <w:szCs w:val="22"/>
                <w:color w:val="auto"/>
              </w:rPr>
            </w:pPr>
          </w:p>
        </w:tc>
        <w:tc>
          <w:tcPr>
            <w:tcW w:w="3540" w:type="dxa"/>
            <w:vAlign w:val="bottom"/>
            <w:shd w:val="clear" w:color="auto" w:fill="CCEEFF"/>
          </w:tcPr>
          <w:p>
            <w:pPr>
              <w:spacing w:after="0"/>
              <w:rPr>
                <w:sz w:val="22"/>
                <w:szCs w:val="22"/>
                <w:color w:val="auto"/>
              </w:rPr>
            </w:pPr>
          </w:p>
        </w:tc>
        <w:tc>
          <w:tcPr>
            <w:tcW w:w="45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81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173.3</w:t>
            </w: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r>
      <w:tr>
        <w:trPr>
          <w:trHeight w:val="257"/>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payments to our REIT Landlords under Triple Net Leases </w:t>
            </w:r>
            <w:r>
              <w:rPr>
                <w:rFonts w:ascii="Arial" w:cs="Arial" w:eastAsia="Arial" w:hAnsi="Arial"/>
                <w:sz w:val="23"/>
                <w:szCs w:val="23"/>
                <w:color w:val="auto"/>
                <w:vertAlign w:val="superscript"/>
              </w:rPr>
              <w:t>(3)</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57"/>
        </w:trPr>
        <w:tc>
          <w:tcPr>
            <w:tcW w:w="2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bl>
    <w:p>
      <w:pPr>
        <w:spacing w:after="0" w:line="256"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more information, definitions, and reconciliations see the “Non-GAAP Financial Measures” section below.</w:t>
      </w:r>
    </w:p>
    <w:p>
      <w:pPr>
        <w:spacing w:after="0" w:line="72" w:lineRule="exact"/>
        <w:rPr>
          <w:rFonts w:ascii="Arial" w:cs="Arial" w:eastAsia="Arial" w:hAnsi="Arial"/>
          <w:sz w:val="16"/>
          <w:szCs w:val="16"/>
          <w:color w:val="auto"/>
        </w:rPr>
      </w:pPr>
    </w:p>
    <w:p>
      <w:pPr>
        <w:jc w:val="both"/>
        <w:ind w:left="660" w:hanging="328"/>
        <w:spacing w:after="0" w:line="257"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the operating lease components of (i) our triple net master lease dated November 1, 2013 with Gaming and Leisure Properties, Inc. (Nasdaq: GLPI) (“GLPI”), as amended and restated effective January 1, 2023 (the “AR PENN Master Lease”), (ii) our triple net master lease entered into in conjunction with, and coterminous with, the AR PENN Master Lease (the “2023 Master Lease”), and (iii) our triple net master lease dated December 4, 2025 with VICI Properties Inc. (NYSE: VICI) (“VICI”) for the real estate assets used in the operations of Margaritaville Resort Casino and Hollywood Casino at Greektown (the “VICI Master Lease”), which replaced the Company’s prior separate triple net leases with VICI for such properties. Collectively these arrangements are referred to as our “triple net operating leases.” The expense related to operating lease components contained within our triple net operating leases are recorded as “General and administrative” within the unaudited Consolidated Statements of Operations.</w:t>
      </w:r>
    </w:p>
    <w:p>
      <w:pPr>
        <w:spacing w:after="0" w:line="3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Consists of total cash payments made to GLPI and VICI (referred to collectively as our “REIT Landlords”) under our triple net operating leases (as defined above), the Pinnacle Master Lease, and the Morgantown Lease and collectively referred to as our “Triple Net Leases.”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61"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Adjusted EPS</w:t>
      </w:r>
    </w:p>
    <w:p>
      <w:pPr>
        <w:spacing w:after="0" w:line="191" w:lineRule="exact"/>
        <w:rPr>
          <w:sz w:val="20"/>
          <w:szCs w:val="20"/>
          <w:color w:val="auto"/>
        </w:rPr>
      </w:pPr>
    </w:p>
    <w:p>
      <w:pPr>
        <w:ind w:right="220"/>
        <w:spacing w:after="0" w:line="286" w:lineRule="auto"/>
        <w:rPr>
          <w:sz w:val="20"/>
          <w:szCs w:val="20"/>
          <w:color w:val="auto"/>
        </w:rPr>
      </w:pPr>
      <w:r>
        <w:rPr>
          <w:rFonts w:ascii="Arial" w:cs="Arial" w:eastAsia="Arial" w:hAnsi="Arial"/>
          <w:sz w:val="20"/>
          <w:szCs w:val="20"/>
          <w:color w:val="auto"/>
        </w:rPr>
        <w:t>The following table reconciles diluted earnings (loss) per share (“EPS”) to Adjusted EPS (approximate EPS impact shown, per share; positive adjustments represent charges to income):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120" w:type="dxa"/>
            <w:vAlign w:val="bottom"/>
          </w:tcPr>
          <w:p>
            <w:pPr>
              <w:spacing w:after="0"/>
              <w:rPr>
                <w:sz w:val="20"/>
                <w:szCs w:val="20"/>
                <w:color w:val="auto"/>
              </w:rPr>
            </w:pPr>
          </w:p>
        </w:tc>
        <w:tc>
          <w:tcPr>
            <w:tcW w:w="312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For the quarter ended March 31,</w:t>
            </w:r>
          </w:p>
        </w:tc>
      </w:tr>
      <w:tr>
        <w:trPr>
          <w:trHeight w:val="223"/>
        </w:trPr>
        <w:tc>
          <w:tcPr>
            <w:tcW w:w="8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share</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Pre-opening expenses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matters inclusive of litigation settlements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Transaction costs and other</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items: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120" w:type="dxa"/>
            <w:vAlign w:val="bottom"/>
          </w:tcPr>
          <w:p>
            <w:pPr>
              <w:ind w:left="240"/>
              <w:spacing w:after="0"/>
              <w:rPr>
                <w:sz w:val="20"/>
                <w:szCs w:val="20"/>
                <w:color w:val="auto"/>
              </w:rPr>
            </w:pPr>
            <w:r>
              <w:rPr>
                <w:rFonts w:ascii="Arial" w:cs="Arial" w:eastAsia="Arial" w:hAnsi="Arial"/>
                <w:sz w:val="18"/>
                <w:szCs w:val="18"/>
                <w:color w:val="auto"/>
              </w:rPr>
              <w:t>Gain on financing arrangement</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8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Income tax impact on net income (loss) adjustments </w:t>
            </w:r>
            <w:r>
              <w:rPr>
                <w:rFonts w:ascii="Arial" w:cs="Arial" w:eastAsia="Arial" w:hAnsi="Arial"/>
                <w:sz w:val="23"/>
                <w:szCs w:val="23"/>
                <w:color w:val="auto"/>
                <w:vertAlign w:val="superscript"/>
              </w:rPr>
              <w:t>(1)</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1"/>
        </w:trPr>
        <w:tc>
          <w:tcPr>
            <w:tcW w:w="8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The income tax impact reflects current and deferred tax effects based on the nature of each adjustment and the applicable tax jurisdiction.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The Company aggregates its operations into five reportable segments: Northeast, South, West, Midwest, and Interactive.</w:t>
      </w:r>
    </w:p>
    <w:p>
      <w:pPr>
        <w:spacing w:after="0" w:line="97"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0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687.1</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680.9</w:t>
            </w: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290.1</w:t>
            </w: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2"/>
          </w:tcPr>
          <w:p>
            <w:pPr>
              <w:ind w:left="120"/>
              <w:spacing w:after="0" w:line="230" w:lineRule="exact"/>
              <w:rPr>
                <w:sz w:val="20"/>
                <w:szCs w:val="20"/>
                <w:color w:val="auto"/>
              </w:rPr>
            </w:pPr>
            <w:r>
              <w:rPr>
                <w:rFonts w:ascii="Arial" w:cs="Arial" w:eastAsia="Arial" w:hAnsi="Arial"/>
                <w:sz w:val="18"/>
                <w:szCs w:val="18"/>
                <w:color w:val="auto"/>
              </w:rPr>
              <w:t xml:space="preserve">Intersegment eliminations </w:t>
            </w:r>
            <w:r>
              <w:rPr>
                <w:rFonts w:ascii="Arial" w:cs="Arial" w:eastAsia="Arial" w:hAnsi="Arial"/>
                <w:sz w:val="23"/>
                <w:szCs w:val="23"/>
                <w:color w:val="auto"/>
                <w:vertAlign w:val="superscript"/>
              </w:rPr>
              <w:t>(7)</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Segment Adjusted EBITDAR </w:t>
            </w:r>
            <w:r>
              <w:rPr>
                <w:rFonts w:ascii="Arial" w:cs="Arial" w:eastAsia="Arial" w:hAnsi="Arial"/>
                <w:sz w:val="23"/>
                <w:szCs w:val="23"/>
                <w:b w:val="1"/>
                <w:bCs w:val="1"/>
                <w:color w:val="auto"/>
                <w:vertAlign w:val="superscript"/>
              </w:rPr>
              <w:t>(8)</w:t>
            </w: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Northeast segment </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194.2</w:t>
            </w: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South segment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West segment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30"/>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Midwest segment </w:t>
            </w:r>
            <w:r>
              <w:rPr>
                <w:rFonts w:ascii="Arial" w:cs="Arial" w:eastAsia="Arial" w:hAnsi="Arial"/>
                <w:sz w:val="23"/>
                <w:szCs w:val="23"/>
                <w:color w:val="auto"/>
                <w:vertAlign w:val="superscript"/>
              </w:rPr>
              <w:t>(4)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20" w:type="dxa"/>
            <w:vAlign w:val="bottom"/>
          </w:tcPr>
          <w:p>
            <w:pPr>
              <w:spacing w:after="0"/>
              <w:rPr>
                <w:sz w:val="19"/>
                <w:szCs w:val="19"/>
                <w:color w:val="auto"/>
              </w:rPr>
            </w:pPr>
          </w:p>
        </w:tc>
        <w:tc>
          <w:tcPr>
            <w:tcW w:w="8100" w:type="dxa"/>
            <w:vAlign w:val="bottom"/>
            <w:gridSpan w:val="2"/>
          </w:tcPr>
          <w:p>
            <w:pPr>
              <w:ind w:left="120"/>
              <w:spacing w:after="0" w:line="230" w:lineRule="exact"/>
              <w:rPr>
                <w:sz w:val="20"/>
                <w:szCs w:val="20"/>
                <w:color w:val="auto"/>
              </w:rPr>
            </w:pPr>
            <w:r>
              <w:rPr>
                <w:rFonts w:ascii="Arial" w:cs="Arial" w:eastAsia="Arial" w:hAnsi="Arial"/>
                <w:sz w:val="18"/>
                <w:szCs w:val="18"/>
                <w:color w:val="auto"/>
              </w:rPr>
              <w:t xml:space="preserve">Interactive </w:t>
            </w:r>
            <w:r>
              <w:rPr>
                <w:rFonts w:ascii="Arial" w:cs="Arial" w:eastAsia="Arial" w:hAnsi="Arial"/>
                <w:sz w:val="23"/>
                <w:szCs w:val="23"/>
                <w:color w:val="auto"/>
                <w:vertAlign w:val="superscript"/>
              </w:rPr>
              <w:t>(5)</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29"/>
        </w:trPr>
        <w:tc>
          <w:tcPr>
            <w:tcW w:w="20" w:type="dxa"/>
            <w:vAlign w:val="bottom"/>
            <w:shd w:val="clear" w:color="auto" w:fill="CCEEFF"/>
          </w:tcPr>
          <w:p>
            <w:pPr>
              <w:spacing w:after="0"/>
              <w:rPr>
                <w:sz w:val="19"/>
                <w:szCs w:val="19"/>
                <w:color w:val="auto"/>
              </w:rPr>
            </w:pPr>
          </w:p>
        </w:tc>
        <w:tc>
          <w:tcPr>
            <w:tcW w:w="8100" w:type="dxa"/>
            <w:vAlign w:val="bottom"/>
            <w:gridSpan w:val="2"/>
            <w:shd w:val="clear" w:color="auto" w:fill="CCEEFF"/>
          </w:tcPr>
          <w:p>
            <w:pPr>
              <w:ind w:left="1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30"/>
        </w:trPr>
        <w:tc>
          <w:tcPr>
            <w:tcW w:w="20" w:type="dxa"/>
            <w:vAlign w:val="bottom"/>
            <w:tcBorders>
              <w:bottom w:val="single" w:sz="8" w:color="CCEEFF"/>
            </w:tcBorders>
          </w:tcPr>
          <w:p>
            <w:pPr>
              <w:spacing w:after="0"/>
              <w:rPr>
                <w:sz w:val="19"/>
                <w:szCs w:val="19"/>
                <w:color w:val="auto"/>
              </w:rPr>
            </w:pPr>
          </w:p>
        </w:tc>
        <w:tc>
          <w:tcPr>
            <w:tcW w:w="8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Rent expense associated with triple net operating leases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00" w:type="dxa"/>
            <w:vAlign w:val="bottom"/>
            <w:tcBorders>
              <w:bottom w:val="single" w:sz="8" w:color="CCEEFF"/>
            </w:tcBorders>
            <w:gridSpan w:val="2"/>
            <w:shd w:val="clear" w:color="auto" w:fill="CCEEFF"/>
          </w:tcPr>
          <w:p>
            <w:pPr>
              <w:ind w:left="340"/>
              <w:spacing w:after="0" w:line="223" w:lineRule="exact"/>
              <w:rPr>
                <w:sz w:val="20"/>
                <w:szCs w:val="20"/>
                <w:color w:val="auto"/>
              </w:rPr>
            </w:pPr>
            <w:r>
              <w:rPr>
                <w:rFonts w:ascii="Arial" w:cs="Arial" w:eastAsia="Arial" w:hAnsi="Arial"/>
                <w:sz w:val="18"/>
                <w:szCs w:val="18"/>
                <w:b w:val="1"/>
                <w:bCs w:val="1"/>
                <w:color w:val="auto"/>
              </w:rPr>
              <w:t xml:space="preserve">Consolidated Adjusted EBITDA </w:t>
            </w:r>
            <w:r>
              <w:rPr>
                <w:rFonts w:ascii="Arial" w:cs="Arial" w:eastAsia="Arial" w:hAnsi="Arial"/>
                <w:sz w:val="23"/>
                <w:szCs w:val="23"/>
                <w:b w:val="1"/>
                <w:bCs w:val="1"/>
                <w:color w:val="auto"/>
                <w:vertAlign w:val="superscript"/>
              </w:rPr>
              <w:t>(9)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660" w:hanging="328"/>
        <w:spacing w:after="0" w:line="269"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Northeast segment consists of the following properties: Ameristar East Chicago, Hollywood Casino at Greektown, Hollywood Casino Bangor, Hollywood Casino at Charles Town Races, Hollywood Casino Columbus, Hollywood Casino Lawrenceburg, Hollywood Casino Morgantown, Hollywood Casino at PENN National Race Course, Hollywood Casino Perryville, Hollywood Casino Toledo, Hollywood Casino York, Hollywood Gaming at Dayton Raceway, Hollywood Gaming at Mahoning Valley Race Course, Marquee by PENN, Hollywood Casino at The Meadows, and Plainridge Park Casino.</w:t>
      </w:r>
    </w:p>
    <w:p>
      <w:pPr>
        <w:spacing w:after="0" w:line="20"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South segment consists of the following properties: 1</w:t>
      </w:r>
      <w:r>
        <w:rPr>
          <w:rFonts w:ascii="Arial" w:cs="Arial" w:eastAsia="Arial" w:hAnsi="Arial"/>
          <w:sz w:val="9"/>
          <w:szCs w:val="9"/>
          <w:color w:val="auto"/>
        </w:rPr>
        <w:t>st</w:t>
      </w:r>
      <w:r>
        <w:rPr>
          <w:rFonts w:ascii="Arial" w:cs="Arial" w:eastAsia="Arial" w:hAnsi="Arial"/>
          <w:sz w:val="14"/>
          <w:szCs w:val="14"/>
          <w:color w:val="auto"/>
        </w:rPr>
        <w:t xml:space="preserve"> Jackpot Casino, Ameristar Vicksburg, Boomtown Biloxi, Boomtown Bossier City, Boomtown New Orleans, Hollywood Casino Gulf Coast, Hollywood Casino Tunica, L’Auberge Baton Rouge, L’Auberge Lake Charles, and Margaritaville Resort Casino.</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West segment consists of the following properties: Ameristar Black Hawk, Cactus Petes and Horseshu, M Resort Spa Casino, and Zia Park Casino.</w:t>
      </w:r>
    </w:p>
    <w:p>
      <w:pPr>
        <w:spacing w:after="0" w:line="68" w:lineRule="exact"/>
        <w:rPr>
          <w:rFonts w:ascii="Arial" w:cs="Arial" w:eastAsia="Arial" w:hAnsi="Arial"/>
          <w:sz w:val="14"/>
          <w:szCs w:val="14"/>
          <w:color w:val="auto"/>
        </w:rPr>
      </w:pPr>
    </w:p>
    <w:p>
      <w:pPr>
        <w:jc w:val="both"/>
        <w:ind w:left="660" w:hanging="328"/>
        <w:spacing w:after="0" w:line="273"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Midwest segment consists of the following properties: Ameristar Council Bluffs, Argosy Casino Alton, Argosy Casino Riverside, Hollywood Casino Aurora, Hollywood Casino Joliet, our 50% investment in Kansas Entertainment, LLC, which owns Hollywood Casino at Kansas Speedway, Hollywood Casino St. Louis, Prairie State Gaming, and River City Casino.</w:t>
      </w:r>
    </w:p>
    <w:p>
      <w:pPr>
        <w:spacing w:after="0" w:line="17" w:lineRule="exact"/>
        <w:rPr>
          <w:rFonts w:ascii="Arial" w:cs="Arial" w:eastAsia="Arial" w:hAnsi="Arial"/>
          <w:sz w:val="14"/>
          <w:szCs w:val="14"/>
          <w:color w:val="auto"/>
        </w:rPr>
      </w:pPr>
    </w:p>
    <w:p>
      <w:pPr>
        <w:ind w:left="660" w:hanging="328"/>
        <w:spacing w:after="0" w:line="301"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Interactive segment includes all of our online sports betting, online casino/iCasino and social gaming operations, management of retail sports betting, and media. Interactive revenues are inclusive of a tax gross-up of $185.8 million and $128.2 million for the quarters ended March 31, 2026 and 2025, respectively.</w:t>
      </w:r>
    </w:p>
    <w:p>
      <w:pPr>
        <w:spacing w:after="0" w:line="1" w:lineRule="exact"/>
        <w:rPr>
          <w:rFonts w:ascii="Arial" w:cs="Arial" w:eastAsia="Arial" w:hAnsi="Arial"/>
          <w:sz w:val="14"/>
          <w:szCs w:val="14"/>
          <w:color w:val="auto"/>
        </w:rPr>
      </w:pPr>
    </w:p>
    <w:p>
      <w:pPr>
        <w:jc w:val="both"/>
        <w:ind w:left="660" w:hanging="328"/>
        <w:spacing w:after="0" w:line="266" w:lineRule="auto"/>
        <w:tabs>
          <w:tab w:leader="none" w:pos="647"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Other category, included in the tables to reconcile the segment information to the consolidated information, consists of the Company’s stand-alone racing operations, namely Sanford-Orlando Kennel Club, Sam Houston and Valley Race Park, and our management contract for Retama Park Racetrack. The Other category also includes corporate overhead, which consist of certain expenses, such as: payroll, professional fees, travel expenses, and other general and administrative expenses that do not directly relate to or have not otherwise been allocated. Corporate overhead was $28.2 million and $36.0 million for the quarters ended March 31, 2026 and 2025, respectively. Corporate overhead for the quarter ended March 31, 2025 included $7.7 million of legal and advisory costs related to activist activity in connection with our 2025 annual meeting of shareholders.</w:t>
      </w:r>
    </w:p>
    <w:p>
      <w:pPr>
        <w:spacing w:after="0" w:line="9"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Primarily represents the elimination of intersegment revenues associated with our retail sportsbooks, which are operated by PENN Interactive.</w:t>
      </w:r>
    </w:p>
    <w:p>
      <w:pPr>
        <w:spacing w:after="0" w:line="68"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definition of Segment Adjusted EBITDAR within the “Reportable Segment Measures” section below.</w:t>
      </w:r>
    </w:p>
    <w:p>
      <w:pPr>
        <w:spacing w:after="0" w:line="68" w:lineRule="exact"/>
        <w:rPr>
          <w:rFonts w:ascii="Arial" w:cs="Arial" w:eastAsia="Arial" w:hAnsi="Arial"/>
          <w:sz w:val="14"/>
          <w:szCs w:val="14"/>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definition of Consolidated Adjusted EBITDA within the “Non-GAAP Financial Measures” section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6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Net Income (Loss) to Consolidated Adjusted EBITDA</w:t>
      </w:r>
    </w:p>
    <w:p>
      <w:pPr>
        <w:spacing w:after="0" w:line="281"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2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111.5</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47.7</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110.8</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Gain on financing arrangement</w:t>
            </w:r>
          </w:p>
        </w:tc>
        <w:tc>
          <w:tcPr>
            <w:tcW w:w="3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(215.1)</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42.8</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30"/>
        </w:trPr>
        <w:tc>
          <w:tcPr>
            <w:tcW w:w="20" w:type="dxa"/>
            <w:vAlign w:val="bottom"/>
          </w:tcPr>
          <w:p>
            <w:pPr>
              <w:spacing w:after="0"/>
              <w:rPr>
                <w:sz w:val="19"/>
                <w:szCs w:val="19"/>
                <w:color w:val="auto"/>
              </w:rPr>
            </w:pPr>
          </w:p>
        </w:tc>
        <w:tc>
          <w:tcPr>
            <w:tcW w:w="8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Cash-settled stock-based awards variance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expenses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108.0</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Non-operating items of equity method investments </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Other expenses </w:t>
            </w:r>
            <w:r>
              <w:rPr>
                <w:rFonts w:ascii="Arial" w:cs="Arial" w:eastAsia="Arial" w:hAnsi="Arial"/>
                <w:sz w:val="23"/>
                <w:szCs w:val="23"/>
                <w:color w:val="auto"/>
                <w:vertAlign w:val="superscript"/>
              </w:rPr>
              <w:t>(3)</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r>
      <w:tr>
        <w:trPr>
          <w:trHeight w:val="223"/>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Consolidated 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173.3</w:t>
            </w:r>
          </w:p>
        </w:tc>
      </w:tr>
      <w:tr>
        <w:trPr>
          <w:trHeight w:val="21"/>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left="660" w:hanging="328"/>
        <w:spacing w:after="0" w:line="27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cash-settled stock-based awards are adjusted to fair value each reporting period based primarily on the price of the Company’s common stock. As such, significant fluctuations in the price of the Company’s common stock during any reporting period could cause significant variances to budget on cash-settled stock-based awards.</w:t>
      </w:r>
    </w:p>
    <w:p>
      <w:pPr>
        <w:spacing w:after="0" w:line="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primarily of depreciation expense associated with our Kansas Entertainment joint venture.</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the three months ended March 31, 2026, other expenses consist of settlement costs and related legal and advisory fees associated with the Cooperation Agreement with HG Vora Capital Management, LLC and related parties, as well as non-recurring restructuring charges (primarily severance) related to the Company’s new corporate organizational structure, and other transaction costs.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PENN ENTERTAINMENT,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2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except per share data, unaudited)</w:t>
            </w: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54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1,334.4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1,298.3</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w:t>
            </w:r>
          </w:p>
        </w:tc>
      </w:tr>
      <w:tr>
        <w:trPr>
          <w:trHeight w:val="223"/>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1,672.5</w:t>
            </w:r>
          </w:p>
        </w:tc>
      </w:tr>
      <w:tr>
        <w:trPr>
          <w:trHeight w:val="209"/>
        </w:trPr>
        <w:tc>
          <w:tcPr>
            <w:tcW w:w="20" w:type="dxa"/>
            <w:vAlign w:val="bottom"/>
            <w:shd w:val="clear" w:color="auto" w:fill="CCEEFF"/>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Gaming</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853.8</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Food, beverage, hotel, and other</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r>
      <w:tr>
        <w:trPr>
          <w:trHeight w:val="229"/>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403.0</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r>
      <w:tr>
        <w:trPr>
          <w:trHeight w:val="223"/>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1,629.7</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r>
      <w:tr>
        <w:trPr>
          <w:trHeight w:val="230"/>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Gain on financing arrangement</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215.1</w:t>
            </w:r>
          </w:p>
        </w:tc>
      </w:tr>
      <w:tr>
        <w:trPr>
          <w:trHeight w:val="229"/>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color w:val="auto"/>
              </w:rPr>
              <w:t>Total other income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30"/>
        </w:trPr>
        <w:tc>
          <w:tcPr>
            <w:tcW w:w="20" w:type="dxa"/>
            <w:vAlign w:val="bottom"/>
            <w:tcBorders>
              <w:bottom w:val="single" w:sz="8" w:color="CCEEFF"/>
            </w:tcBorders>
          </w:tcPr>
          <w:p>
            <w:pPr>
              <w:spacing w:after="0"/>
              <w:rPr>
                <w:sz w:val="19"/>
                <w:szCs w:val="19"/>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attributable to PENN Entertainment, Inc.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0.73</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Diluted earnings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70"/>
        </w:trPr>
        <w:tc>
          <w:tcPr>
            <w:tcW w:w="2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r>
      <w:tr>
        <w:trPr>
          <w:trHeight w:val="239"/>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outstanding—diluted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167.0</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0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Selected Financial Information and GAAP to Non-GAAP Reconciliations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millions, unaudited)</w:t>
            </w: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2026</w:t>
            </w: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December 31, 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2,904.1</w:t>
            </w: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23" w:lineRule="exact"/>
              <w:rPr>
                <w:sz w:val="20"/>
                <w:szCs w:val="20"/>
                <w:color w:val="auto"/>
              </w:rPr>
            </w:pPr>
            <w:r>
              <w:rPr>
                <w:rFonts w:ascii="Arial" w:cs="Arial" w:eastAsia="Arial" w:hAnsi="Arial"/>
                <w:sz w:val="18"/>
                <w:szCs w:val="18"/>
                <w:color w:val="auto"/>
              </w:rPr>
              <w:t xml:space="preserve">Traditional net debt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2,217.5</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Revolving Credit Facility due 2027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r>
      <w:tr>
        <w:trPr>
          <w:trHeight w:val="229"/>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Amended Term Loan A Facility due 2027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453.8</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Amended Term Loan B Facility due 2029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5.625% Notes due 2027</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4.125% Notes due 2029</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6.75% Notes due 2031</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2.75% Convertible Notes due 2026</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long-term obligations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2,904.1</w:t>
            </w:r>
          </w:p>
        </w:tc>
      </w:tr>
      <w:tr>
        <w:trPr>
          <w:trHeight w:val="229"/>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discounts and debt issuance costs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60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2,887.1</w:t>
            </w:r>
          </w:p>
        </w:tc>
      </w:tr>
      <w:tr>
        <w:trPr>
          <w:trHeight w:val="270"/>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traditional debt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2,904.1</w:t>
            </w: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Cash rent payments to REIT landlords </w:t>
            </w:r>
            <w:r>
              <w:rPr>
                <w:rFonts w:ascii="Arial" w:cs="Arial" w:eastAsia="Arial" w:hAnsi="Arial"/>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7,804.0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7,742.4</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10,044.9</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9,959.9</w:t>
            </w:r>
          </w:p>
        </w:tc>
      </w:tr>
      <w:tr>
        <w:trPr>
          <w:trHeight w:val="270"/>
        </w:trPr>
        <w:tc>
          <w:tcPr>
            <w:tcW w:w="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6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7800" w:type="dxa"/>
            <w:vAlign w:val="bottom"/>
            <w:gridSpan w:val="2"/>
          </w:tcPr>
          <w:p>
            <w:pPr>
              <w:spacing w:after="0" w:line="230" w:lineRule="exact"/>
              <w:rPr>
                <w:sz w:val="20"/>
                <w:szCs w:val="20"/>
                <w:color w:val="auto"/>
              </w:rPr>
            </w:pPr>
            <w:r>
              <w:rPr>
                <w:rFonts w:ascii="Arial" w:cs="Arial" w:eastAsia="Arial" w:hAnsi="Arial"/>
                <w:sz w:val="18"/>
                <w:szCs w:val="18"/>
                <w:color w:val="auto"/>
              </w:rPr>
              <w:t xml:space="preserve">Consolidated Adjusted EBITDA </w:t>
            </w:r>
            <w:r>
              <w:rPr>
                <w:rFonts w:ascii="Arial" w:cs="Arial" w:eastAsia="Arial" w:hAnsi="Arial"/>
                <w:sz w:val="23"/>
                <w:szCs w:val="23"/>
                <w:color w:val="auto"/>
                <w:vertAlign w:val="superscript"/>
              </w:rPr>
              <w:t>(3)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830.1</w:t>
            </w: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Rent expense associated with triple net operating leases </w:t>
            </w:r>
            <w:r>
              <w:rPr>
                <w:rFonts w:ascii="Arial" w:cs="Arial" w:eastAsia="Arial" w:hAnsi="Arial"/>
                <w:sz w:val="23"/>
                <w:szCs w:val="23"/>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631.7</w:t>
            </w:r>
          </w:p>
        </w:tc>
      </w:tr>
      <w:tr>
        <w:trPr>
          <w:trHeight w:val="256"/>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Lease-adjusted net leverage ratio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6.4x</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6.8x</w:t>
            </w:r>
          </w:p>
        </w:tc>
      </w:tr>
      <w:tr>
        <w:trPr>
          <w:trHeight w:val="316"/>
        </w:trPr>
        <w:tc>
          <w:tcPr>
            <w:tcW w:w="20" w:type="dxa"/>
            <w:vAlign w:val="bottom"/>
          </w:tcPr>
          <w:p>
            <w:pPr>
              <w:spacing w:after="0"/>
              <w:rPr>
                <w:sz w:val="24"/>
                <w:szCs w:val="24"/>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 xml:space="preserve">Traditional net leverage </w:t>
            </w:r>
            <w:r>
              <w:rPr>
                <w:rFonts w:ascii="Arial" w:cs="Arial" w:eastAsia="Arial" w:hAnsi="Arial"/>
                <w:sz w:val="23"/>
                <w:szCs w:val="23"/>
                <w:color w:val="auto"/>
                <w:vertAlign w:val="superscript"/>
              </w:rPr>
              <w:t>(1)</w:t>
            </w:r>
          </w:p>
        </w:tc>
        <w:tc>
          <w:tcPr>
            <w:tcW w:w="140" w:type="dxa"/>
            <w:vAlign w:val="bottom"/>
          </w:tcPr>
          <w:p>
            <w:pPr>
              <w:spacing w:after="0"/>
              <w:rPr>
                <w:sz w:val="24"/>
                <w:szCs w:val="24"/>
                <w:color w:val="auto"/>
              </w:rPr>
            </w:pPr>
          </w:p>
        </w:tc>
        <w:tc>
          <w:tcPr>
            <w:tcW w:w="1620" w:type="dxa"/>
            <w:vAlign w:val="bottom"/>
            <w:gridSpan w:val="2"/>
          </w:tcPr>
          <w:p>
            <w:pPr>
              <w:ind w:left="1160"/>
              <w:spacing w:after="0"/>
              <w:rPr>
                <w:sz w:val="20"/>
                <w:szCs w:val="20"/>
                <w:color w:val="auto"/>
              </w:rPr>
            </w:pPr>
            <w:r>
              <w:rPr>
                <w:rFonts w:ascii="Arial" w:cs="Arial" w:eastAsia="Arial" w:hAnsi="Arial"/>
                <w:sz w:val="18"/>
                <w:szCs w:val="18"/>
                <w:color w:val="auto"/>
              </w:rPr>
              <w:t>3.8x</w:t>
            </w:r>
          </w:p>
        </w:tc>
        <w:tc>
          <w:tcPr>
            <w:tcW w:w="5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4.5x</w:t>
            </w:r>
          </w:p>
        </w:tc>
      </w:tr>
    </w:tbl>
    <w:p>
      <w:pPr>
        <w:spacing w:after="0" w:line="169" w:lineRule="exact"/>
        <w:rPr>
          <w:sz w:val="20"/>
          <w:szCs w:val="20"/>
          <w:color w:val="auto"/>
        </w:rPr>
      </w:pPr>
    </w:p>
    <w:p>
      <w:pPr>
        <w:ind w:left="660" w:hanging="328"/>
        <w:spacing w:after="0" w:line="290" w:lineRule="auto"/>
        <w:tabs>
          <w:tab w:leader="none" w:pos="655"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“Non-GAAP Financial Measures” section below for more information as well as the definitions of Traditional net debt, Lease-adjusted net leverage ratio, and Traditional net leverage.</w:t>
      </w: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 equals 8 times the total cash rent payments to REIT landlords for the trailing twelve months.</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Balance is presented on a trailing twelve months basis.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Data</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certain cash expenditures incurred by the Company.</w:t>
      </w:r>
    </w:p>
    <w:p>
      <w:pPr>
        <w:spacing w:after="0" w:line="232"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For the quarter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812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(in millions, unaudited)</w:t>
            </w:r>
          </w:p>
        </w:tc>
        <w:tc>
          <w:tcPr>
            <w:tcW w:w="96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rPr>
              <w:t>2026</w:t>
            </w:r>
          </w:p>
        </w:tc>
        <w:tc>
          <w:tcPr>
            <w:tcW w:w="5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50"/>
              <w:spacing w:after="0" w:line="182" w:lineRule="exact"/>
              <w:rPr>
                <w:sz w:val="20"/>
                <w:szCs w:val="20"/>
                <w:color w:val="auto"/>
              </w:rPr>
            </w:pPr>
            <w:r>
              <w:rPr>
                <w:rFonts w:ascii="Arial" w:cs="Arial" w:eastAsia="Arial" w:hAnsi="Arial"/>
                <w:sz w:val="18"/>
                <w:szCs w:val="18"/>
                <w:b w:val="1"/>
                <w:bCs w:val="1"/>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to our REIT Landlords under Triple Net Leases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r>
      <w:tr>
        <w:trPr>
          <w:trHeight w:val="229"/>
        </w:trPr>
        <w:tc>
          <w:tcPr>
            <w:tcW w:w="20" w:type="dxa"/>
            <w:vAlign w:val="bottom"/>
          </w:tcPr>
          <w:p>
            <w:pPr>
              <w:spacing w:after="0"/>
              <w:rPr>
                <w:sz w:val="19"/>
                <w:szCs w:val="19"/>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Cash refunds related to income taxes, net</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20" w:type="dxa"/>
            <w:vAlign w:val="bottom"/>
            <w:shd w:val="clear" w:color="auto" w:fill="CCEEFF"/>
          </w:tcPr>
          <w:p>
            <w:pPr>
              <w:spacing w:after="0"/>
              <w:rPr>
                <w:sz w:val="19"/>
                <w:szCs w:val="19"/>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interest on traditional debt</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39"/>
        </w:trPr>
        <w:tc>
          <w:tcPr>
            <w:tcW w:w="20" w:type="dxa"/>
            <w:vAlign w:val="bottom"/>
          </w:tcPr>
          <w:p>
            <w:pPr>
              <w:spacing w:after="0"/>
              <w:rPr>
                <w:sz w:val="20"/>
                <w:szCs w:val="20"/>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125.2</w:t>
            </w:r>
          </w:p>
        </w:tc>
      </w:tr>
    </w:tbl>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1"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Reportable Segment Measures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Segment Adjusted EBITDAR is our measure of profit or loss for our reportable segments and underlying operating segments. We define Segment Adjusted EBITDAR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Segment Adjusted EBITDAR excludes rent expense associated with triple net operating leases (which is a normal, recurring cash operating expense necessary to operate our business). Segment Adjusted EBITDAR is inclusive of income or loss from unconsolidated affiliates, with our share of non-operating items (such as interest expense, net, and depreciation and amortization) added back for our Kansas Entertainment, LLC joint venture. Segment Adjusted EBITDAR margin is Segment Adjusted EBITDAR divided by related segment revenues.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Non-GAAP Financial Measures used in this press release include Consolidated Adjusted EBITDA, Adjusted EPS, Traditional net debt, Traditional net leverage ratio, and Lease-adjusted net leverage ratio. These non-GAAP financial measures should not be considered a substitute for, nor superior to, financial results and measures determined or calculated in accordance with GAAP.</w:t>
      </w:r>
    </w:p>
    <w:p>
      <w:pPr>
        <w:spacing w:after="0" w:line="143"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define Consolidated Adjusted EBITDA as earnings before interest expense, net, interest income, income taxes, depreciation and amortization, stock-based compensation, debt extinguishment charges, impairment losses, insurance recoveries, net of deductible charges, changes in the estimated fair value of our contingent purchase price obligations, gain or loss on disposal of assets, the difference between budget and actual expense for cash-settled stock-based awards, pre-opening expenses, loss on disposal of a business, non-cash gains/losses associated with REIT transactions, and other. Consolidated Adjusted EBITDA is inclusive of income or loss from unconsolidated affiliates, with our share of non-operating items (such as interest expense, net, and depreciation and amortization) added back for our Kansas Entertainment, LLC joint venture. Consolidated Adjusted EBITDA is inclusive of rent expense associated with our triple net operating leases with our REIT landlords. Although Consolidated Adjusted EBITDA includes rent expense associated with our triple net operating leases, we believe Consolidated Adjusted EBITDA is useful as a supplemental measure in evaluating the performance of our consolidated results of operations.</w:t>
      </w:r>
    </w:p>
    <w:p>
      <w:pPr>
        <w:spacing w:after="0" w:line="13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Consolidated Adjusted EBITDA has economic substance because it is used by management as a performance measure to analyze the performance of our business, and is especially relevant in evaluating large, long-lived casino-hotel projects because it provides a perspective on the current effects of operating decisions separated from the substantial non-operational depreciation charges and financing costs of such projects. We present Consolidated Adjusted EBITDA because it is used by some investors and creditors as an indicator of the strength and performance of ongoing business operations, including our ability to service debt, and to fund capital expenditures, acquisitions, and operations. These calculations are commonly used as a basis for investors, analysts and credit rating agencies to evaluate and compare operating performance and value companies within our industry. In order to view the operations of their casinos on a more stand-alone basis, gaming companies, including us, have historically excluded from their Consolidated Adjusted EBITDA calculations certain corporate expenses that do not relate to the management of specific casino properties. However, Consolidated Adjusted EBITDA is not a measure of performance or liquidity calculated in accordance with GAAP. Consolidated Adjusted EBITDA information is presented as a supplemental disclosure, as management believes that it is a commonly used measure of performance in the gaming industry and that it is considered by many to be a key indicator of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885"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20"/>
          <w:szCs w:val="20"/>
          <w:color w:val="auto"/>
        </w:rPr>
        <w:t>Adjusted EPS is diluted earnings or loss per share adjusted to exclude gains/losses on the disposal of a business, non-cash gains/losses associated with REIT transactions, impairment losses, pre-opening expenses, debt extinguishment charges, gains/losses on the disposal of assets, foreign currency gains/losses, transaction related expenses, business interruption insurance proceeds, net gains/losses related to equity investments, and other.</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Adjusted EPS is a non-GAAP measure and is presented solely as a supplemental disclosure to reported GAAP measures because management believes this measure is useful in providing period-to-period comparisons of the results of the Company’s operations to assist investors in reviewing the Company’s operating performance over time. Management believes it is useful to exclude certain items when comparing current performance to prior periods because these items can vary significantly depending on specific underlying transactions or events. Further, management believes certain excluded items may not relate specifically to current operating trends or be indicative of future results. Adjusted EPS should not be construed as an alternative to GAAP earnings per share as an indicator of the Company’s performance.</w:t>
      </w:r>
    </w:p>
    <w:p>
      <w:pPr>
        <w:spacing w:after="0" w:line="14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We calculate Traditional net debt as Total traditional debt, which is the principal amount of debt outstanding less Cash and cash equivalents. Management believes that Traditional net debt is an important measure to monitor leverage and evaluate the balance sheet. With respect to Traditional net debt, Cash and cash equivalents are subtracted from the GAAP measure because they could be used to reduce the Company’s debt obligations. A limitation associated with using Traditional net debt is that it subtracts Cash and cash equivalents and therefore may imply that there is less Company debt than the most comparable GAAP measure indicates. Management believes that investors may find it useful to monitor leverage and evaluate the balance sheet.</w:t>
      </w:r>
    </w:p>
    <w:p>
      <w:pPr>
        <w:spacing w:after="0" w:line="135"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The Company’s Traditional net leverage ratio is defined as Traditional net debt (as defined above) divided by (i) Consolidated Adjusted EBITDA (as defined above) for the trailing twelve months plus (ii) rent expense associated with triple net operating leases for the trailing twelve months less (iii) cash rent payments to REIT landlords for the trailing twelve months. Management believes this measure is useful as a supplemental measure and provides an indication of the results generated by the Company in relation to its level of indebtedness with the cash generated from Company operations.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Lease-adjusted net leverage ratio’s numerator is calculated as cash rent payments to REIT landlords for the trailing twelve months capitalized at 8 times plus Traditional net debt (as defined above). The Company’s Lease-adjusted net leverage ratio’s denominator is Consolidated Adjusted EBITDA (as defined above) for the trailing twelve months plus rent expense associated with triple net operating leases for the trailing twelve months. Management believes this measure is useful as a supplemental measure and provides an indication of the results generated by the Company in relation to its level of indebtedness (including leases) with the cash generated from Company operations.</w:t>
      </w:r>
    </w:p>
    <w:p>
      <w:pPr>
        <w:spacing w:after="0" w:line="146"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Each of these non-GAAP financial measures is not calculated in the same manner by all companies and, accordingly, may not be an appropriate measure of comparing performance among different companies. See the tables above, which present reconciliations of these measures to the GAAP equivalent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 Presentation, Conference Call, Webcast and Replay Details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PENN is hosting a conference call and simultaneous webcast at 8:00 a.m. E.T. today, both of which are open to the general public. During the call, management will review a presentation regarding the quarter and recent developments that can be accessed at </w:t>
      </w:r>
      <w:r>
        <w:rPr>
          <w:rFonts w:ascii="Arial" w:cs="Arial" w:eastAsia="Arial" w:hAnsi="Arial"/>
          <w:sz w:val="20"/>
          <w:szCs w:val="20"/>
          <w:i w:val="1"/>
          <w:iCs w:val="1"/>
          <w:color w:val="auto"/>
        </w:rPr>
        <w:t>http://investors.pennentertainment.com/events-and-presentations/presentations</w:t>
      </w:r>
      <w:r>
        <w:rPr>
          <w:rFonts w:ascii="Arial" w:cs="Arial" w:eastAsia="Arial" w:hAnsi="Arial"/>
          <w:sz w:val="20"/>
          <w:szCs w:val="20"/>
          <w:color w:val="auto"/>
        </w:rPr>
        <w:t>.</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The conference call number is 785-424-1699 (conference ID: PENN); please call five minutes in advance to ensure that you are connected prior to the presentation. Interested parties may also access the live call at </w:t>
      </w:r>
      <w:r>
        <w:rPr>
          <w:rFonts w:ascii="Arial" w:cs="Arial" w:eastAsia="Arial" w:hAnsi="Arial"/>
          <w:sz w:val="20"/>
          <w:szCs w:val="20"/>
          <w:i w:val="1"/>
          <w:iCs w:val="1"/>
          <w:color w:val="auto"/>
        </w:rPr>
        <w:t>www.pennentertainment.com</w:t>
      </w:r>
      <w:r>
        <w:rPr>
          <w:rFonts w:ascii="Arial" w:cs="Arial" w:eastAsia="Arial" w:hAnsi="Arial"/>
          <w:sz w:val="20"/>
          <w:szCs w:val="20"/>
          <w:color w:val="auto"/>
        </w:rPr>
        <w:t>; allow 15 minutes to register, download, and install any necessary</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63" w:right="339" w:bottom="1440" w:gutter="0" w:footer="0" w:header="0"/>
        </w:sectPr>
      </w:pPr>
    </w:p>
    <w:bookmarkStart w:id="12" w:name="page13"/>
    <w:bookmarkEnd w:id="12"/>
    <w:p>
      <w:pPr>
        <w:jc w:val="both"/>
        <w:ind w:right="20"/>
        <w:spacing w:after="0" w:line="286" w:lineRule="auto"/>
        <w:rPr>
          <w:sz w:val="20"/>
          <w:szCs w:val="20"/>
          <w:color w:val="auto"/>
        </w:rPr>
      </w:pPr>
      <w:r>
        <w:rPr>
          <w:rFonts w:ascii="Arial" w:cs="Arial" w:eastAsia="Arial" w:hAnsi="Arial"/>
          <w:sz w:val="20"/>
          <w:szCs w:val="20"/>
          <w:color w:val="auto"/>
        </w:rPr>
        <w:t xml:space="preserve">software. Questions and answers will be reserved for call-in analysts and investors. A replay of the call can be accessed for thirty days at </w:t>
      </w:r>
      <w:r>
        <w:rPr>
          <w:rFonts w:ascii="Arial" w:cs="Arial" w:eastAsia="Arial" w:hAnsi="Arial"/>
          <w:sz w:val="20"/>
          <w:szCs w:val="20"/>
          <w:i w:val="1"/>
          <w:iCs w:val="1"/>
          <w:color w:val="auto"/>
        </w:rPr>
        <w:t>http://www.pennentertainment.com</w:t>
      </w:r>
      <w:r>
        <w:rPr>
          <w:rFonts w:ascii="Arial" w:cs="Arial" w:eastAsia="Arial" w:hAnsi="Arial"/>
          <w:sz w:val="20"/>
          <w:szCs w:val="20"/>
          <w:color w:val="auto"/>
        </w:rPr>
        <w:t>.</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This press release, which includes financial information to be discussed by management during the conference call and disclosure and reconciliation of non-GAAP financial measures, is available on the Company’s web site, </w:t>
      </w:r>
      <w:r>
        <w:rPr>
          <w:rFonts w:ascii="Arial" w:cs="Arial" w:eastAsia="Arial" w:hAnsi="Arial"/>
          <w:sz w:val="20"/>
          <w:szCs w:val="20"/>
          <w:i w:val="1"/>
          <w:iCs w:val="1"/>
          <w:color w:val="auto"/>
        </w:rPr>
        <w:t xml:space="preserve">http://www.pennentertainment.com/corp/investors </w:t>
      </w:r>
      <w:r>
        <w:rPr>
          <w:rFonts w:ascii="Arial" w:cs="Arial" w:eastAsia="Arial" w:hAnsi="Arial"/>
          <w:sz w:val="20"/>
          <w:szCs w:val="20"/>
          <w:color w:val="auto"/>
        </w:rPr>
        <w:t>(select link for “Press Releases”).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PENN Entertainment, Inc.</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PENN Entertainment, Inc., together with its subsidiaries (“PENN,” or the “Company,” “we,” “our,” or “us”), operates in 27 jurisdictions throughout North America, with a broadly diversified portfolio of casinos, racetracks, and online sports betting and iCasino offerings. PENN’s focus is on organic cross-sell opportunities, reinforced by its market-leading retail casinos, sports media assets and technology, including a proprietary state-of-the-art, fully integrated digital sports betting and iCasino platform, and an in-house iCasino content studio. The Company’s portfolio is further bolstered by its industry-leading PENN Play™ customer loyalty program, offering its approximately 34 million members a unique set of rewards and experiences.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These statements can be identified by the use of forward-looking terminology such as “expects,” “believes,” “estimates,” “projects,” “intends,” “plans,” “goal,” “seeks,” “may,” “will,” “should,” “look forward to,” or “anticipates” or the negative or other variations of these or similar words, or by discussions of future events, strategies or risks and uncertainties.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Specifically, forward-looking statements include, but are not limited to, statements regarding: the Company’s expectations of future results of operations and financial condition, including, but not limited to, projections of revenue, Segment Adjusted EBITDAR, Consolidated Adjusted EBITDA, and other financial measures; the assumptions provided regarding the guidance, including the scale and timing of the Company’s product and technology investments; the Company’s expectations regarding cash flow generation and near-term deleveraging; the Company’s expectations regarding results and customer growth and the impact of competition in retail/mobile/online sportsbooks (including prediction markets), iCasino, social gaming, and retail operations; the Company’s development and launch of its Interactive segment’s products in new jurisdictions and enhancements to existing Interactive segment products; the future success of theScore Bet, Hollywood iCasino and its other digital offerings; the Company’s expectations that its portfolio of assets provides a benefit of geographically-diversified cash flows from operations; management’s plans and strategies for future operations, including statements relating to the Company’s plan to expand gaming operations through the implementation and execution of a disciplined capital expenditure program at our existing properties, the pursuit of strategic acquisitions and investments, and the development of new gaming properties, including the development projects and the anticipated benefits; improvements, expansions, or relocations of our existing properties; entrance into new jurisdictions; expansion of gaming in existing jurisdictions; strategic investments and acquisitions; cross-sell opportunities between our retail gaming, online sports betting (“OSB”), and iCasino businesses; our ability to obtain financing for our development projects on attractive terms; the timing, cost and expected impact of planned capital expenditures on the Company’s results of operations; and the actions of regulatory, legislative, executive, or judicial decisions at the federal, state, provincial, or local level with regard to our business and the impact of any such actions.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Such statements are all subject to risks, uncertainties and changes in circumstances that could significantly affect the Company’s future financial results and business. Accordingly, the Company cautions that the forward-looking statements contained herein are qualified by important factors that could cause actual results to differ materially from those reflected by such statements. Such factors include: the effects of economic and market conditions in the markets in which the Company operates or otherwise, including the impact of global supply chain disruptions, price inflation, changes in interest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3" w:right="3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9"/>
          <w:szCs w:val="19"/>
          <w:color w:val="auto"/>
        </w:rPr>
        <w:t>rates, economic downturns, changes in trade policies, and geopolitical and regulatory uncertainty; competition with other retail and online gaming and sports betting, entertainment and sports content experiences; the timing, cost and expected impact of product and technology investments; risks relating to operations, permits, licenses, financings, approvals and other contingencies in connection with growth in new or existing jurisdictions; our ability to successfully acquire and integrate new properties and operations and achieve expected synergies from acquisitions; the availability of future borrowings under our Amended Credit Facilities or other sources of capital to enable us to service our indebtedness, make anticipated capital expenditures or pay off or refinance our indebtedness prior to maturity; the impact of indemnification obligations under the Barstool SPA; our ability to realize the anticipated benefits of our realigned digital strategy; our ability to attract and retain user adoption of theScore Bet and Hollywood iCasino apps in a rapidly evolving and highly competitive market; the outcome of any legal proceedings that may be instituted against the Company, or its respective directors, officers or employees; the ability of the Company to retain and hire key personnel; the impact of new or changes in current laws, regulations, rules or other industry standards; adverse outcomes of litigation involving the Company; our ability to maintain our gaming licenses and concessions and comply with applicable gaming law, changes in current laws, regulations, rules or other industry standards, and additional factors described in the Company’s Annual Report on Form 10-K for the year ended December 31, 2025, subsequent Quarterly Reports on Form 10-Q and Current Reports on Form 8-K, each as filed with the U.S. Securities and Exchange Commission. The Company does not intend to update publicly any forward-looking statements except as required by law. Considering these risks, uncertainties and assumptions, the forward-looking events discussed in this press release may not occur.</w:t>
      </w: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Mike Nieves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SVP, Finance &amp; Treasurer</w:t>
      </w:r>
    </w:p>
    <w:p>
      <w:pPr>
        <w:spacing w:after="0"/>
        <w:rPr>
          <w:sz w:val="20"/>
          <w:szCs w:val="20"/>
          <w:color w:val="auto"/>
        </w:rPr>
      </w:pPr>
      <w:r>
        <w:rPr>
          <w:rFonts w:ascii="Arial" w:cs="Arial" w:eastAsia="Arial" w:hAnsi="Arial"/>
          <w:sz w:val="20"/>
          <w:szCs w:val="20"/>
          <w:color w:val="auto"/>
        </w:rPr>
        <w:t>PENN Entertainment, Inc.</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610-373-2400</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Joseph N. Jaffoni</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JCIR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212-835-8500 or penn@jcir.com</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2026-04-23T06:04:42Z</dcterms:created>
  <dcterms:modified xsi:type="dcterms:W3CDTF">2026-04-23T06:04:42Z</dcterms:modified>
</cp:coreProperties>
</file>