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August 17, 2022</w:t>
      </w:r>
    </w:p>
    <w:p>
      <w:pPr>
        <w:spacing w:after="0" w:line="2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PENN Entertainment,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2"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46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0-24206</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23-2234473</w:t>
            </w:r>
          </w:p>
        </w:tc>
      </w:tr>
      <w:tr>
        <w:trPr>
          <w:trHeight w:val="168"/>
        </w:trPr>
        <w:tc>
          <w:tcPr>
            <w:tcW w:w="2460" w:type="dxa"/>
            <w:vAlign w:val="bottom"/>
          </w:tcPr>
          <w:p>
            <w:pPr>
              <w:jc w:val="center"/>
              <w:ind w:right="43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(Commission File</w:t>
            </w:r>
          </w:p>
        </w:tc>
        <w:tc>
          <w:tcPr>
            <w:tcW w:w="25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 Identification</w:t>
            </w:r>
          </w:p>
        </w:tc>
      </w:tr>
      <w:tr>
        <w:trPr>
          <w:trHeight w:val="210"/>
        </w:trPr>
        <w:tc>
          <w:tcPr>
            <w:tcW w:w="246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Incorporation)</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No.)</w:t>
            </w:r>
          </w:p>
        </w:tc>
      </w:tr>
      <w:tr>
        <w:trPr>
          <w:trHeight w:val="516"/>
        </w:trPr>
        <w:tc>
          <w:tcPr>
            <w:tcW w:w="246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tc>
        <w:tc>
          <w:tcPr>
            <w:tcW w:w="2520" w:type="dxa"/>
            <w:vAlign w:val="bottom"/>
          </w:tcPr>
          <w:p>
            <w:pPr>
              <w:spacing w:after="0"/>
              <w:rPr>
                <w:sz w:val="24"/>
                <w:szCs w:val="24"/>
                <w:color w:val="auto"/>
              </w:rPr>
            </w:pPr>
          </w:p>
        </w:tc>
      </w:tr>
      <w:tr>
        <w:trPr>
          <w:trHeight w:val="191"/>
        </w:trPr>
        <w:tc>
          <w:tcPr>
            <w:tcW w:w="246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Wyomissing, PA 19610</w:t>
            </w:r>
          </w:p>
        </w:tc>
        <w:tc>
          <w:tcPr>
            <w:tcW w:w="2520" w:type="dxa"/>
            <w:vAlign w:val="bottom"/>
          </w:tcPr>
          <w:p>
            <w:pPr>
              <w:spacing w:after="0"/>
              <w:rPr>
                <w:sz w:val="16"/>
                <w:szCs w:val="16"/>
                <w:color w:val="auto"/>
              </w:rPr>
            </w:pPr>
          </w:p>
        </w:tc>
      </w:tr>
      <w:tr>
        <w:trPr>
          <w:trHeight w:val="210"/>
        </w:trPr>
        <w:tc>
          <w:tcPr>
            <w:tcW w:w="246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2520" w:type="dxa"/>
            <w:vAlign w:val="bottom"/>
          </w:tcPr>
          <w:p>
            <w:pPr>
              <w:spacing w:after="0"/>
              <w:rPr>
                <w:sz w:val="18"/>
                <w:szCs w:val="18"/>
                <w:color w:val="auto"/>
              </w:rPr>
            </w:pPr>
          </w:p>
        </w:tc>
      </w:tr>
    </w:tbl>
    <w:p>
      <w:pPr>
        <w:spacing w:after="0" w:line="2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610-373-2400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67" w:lineRule="exact"/>
        <w:rPr>
          <w:rFonts w:ascii="MS PGothic" w:cs="MS PGothic" w:eastAsia="MS PGothic" w:hAnsi="MS PGothic"/>
          <w:sz w:val="16"/>
          <w:szCs w:val="16"/>
          <w:color w:val="auto"/>
        </w:rPr>
      </w:pPr>
    </w:p>
    <w:p>
      <w:pPr>
        <w:jc w:val="right"/>
        <w:ind w:left="3760" w:right="3700" w:hanging="3712"/>
        <w:spacing w:after="0" w:line="449" w:lineRule="auto"/>
        <w:tabs>
          <w:tab w:leader="none" w:pos="3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29"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07"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9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6"/>
          <w:szCs w:val="16"/>
          <w:color w:val="auto"/>
        </w:rPr>
        <w:t>As previously disclosed, PENN Entertainment, Inc. (“PENN” or the “Company”) has call rights with respect to all of the outstanding shares of common stock of Barstool Sports, Inc. (“Barstool”) not already owned by PENN. PENN has exercised these call rights to bring its ownership of Barstool to 100%. The acquisition of the remaining Barstool shares is expected to be completed in February 2023, after which Barstool will be a wholly-owned subsidiary of PENN. Completion of the acquisition at that time is subject to the satisfaction of certain conditions, including the absence of any governmental order or law prohibiting such acquisition and the expiration or termination of any applicable waiting period under the Hart-Scott-Rodino Antitrust Improvements Act of 1976, as amended. For additional information regarding PENN’s investment in Barstool and the terms thereof, see the information included within Note 10 to PENN’s consolidated financial statements under the caption “Investment in Barstool Sports” on pages 25-26 of PENN’s most recent Quarterly Report on Form 10-Q, which was filed with the Securities and Exchange Commission on August 4,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96" w:lineRule="exact"/>
        <w:rPr>
          <w:sz w:val="20"/>
          <w:szCs w:val="20"/>
          <w:color w:val="auto"/>
        </w:rPr>
      </w:pPr>
    </w:p>
    <w:p>
      <w:pPr>
        <w:ind w:firstLine="292"/>
        <w:spacing w:after="0" w:line="255" w:lineRule="auto"/>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the Private Securities Litigation Reform Act of 1995. These statements can be identified using forward-looking terminology such as “expects,” “believes,” “estimates,” “projects,” “intends,” “plans,” “goal,” “seeks,” “may,” “will,” “should,” or “anticipates” or the negative or other variations of these or similar words, or by discussions of future events, strategies or risks and uncertainties. Specifically, forward-looking statements include, but are not limited to, statements regarding: the Company’s expectations regarding its future investments in Barstool and the timing thereof. 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conditions and market conditions in the markets in which the Company operates; competition with other entertainment, sports content, and casino gaming experiences; the timing, cost and expected impact of product and technology investments; risks relating to international operations, permits, licenses, financings, approvals and other contingencies in connection with growth in new or existing jurisdictions; the ability to satisfy the closing conditions to the acquisition of the remaining shares of Barstool in a timely manner or at all; and additional risks and uncertainties described in the Company’s Annual Report on Form 10-K for the year ended December 31, 2021,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Current Report on Form 8-K may not occur.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3"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180" w:firstLine="32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August 17, 2022</w:t>
            </w:r>
          </w:p>
        </w:tc>
        <w:tc>
          <w:tcPr>
            <w:tcW w:w="7880" w:type="dxa"/>
            <w:vAlign w:val="bottom"/>
            <w:gridSpan w:val="2"/>
          </w:tcPr>
          <w:p>
            <w:pPr>
              <w:ind w:left="1520"/>
              <w:spacing w:after="0"/>
              <w:rPr>
                <w:sz w:val="20"/>
                <w:szCs w:val="20"/>
                <w:color w:val="auto"/>
              </w:rPr>
            </w:pPr>
            <w:r>
              <w:rPr>
                <w:rFonts w:ascii="Times New Roman" w:cs="Times New Roman" w:eastAsia="Times New Roman" w:hAnsi="Times New Roman"/>
                <w:sz w:val="16"/>
                <w:szCs w:val="16"/>
                <w:color w:val="auto"/>
              </w:rPr>
              <w:t>PENN Entertainment, Inc.</w:t>
            </w:r>
          </w:p>
        </w:tc>
      </w:tr>
      <w:tr>
        <w:trPr>
          <w:trHeight w:val="435"/>
        </w:trPr>
        <w:tc>
          <w:tcPr>
            <w:tcW w:w="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380" w:type="dxa"/>
            <w:vAlign w:val="bottom"/>
          </w:tcPr>
          <w:p>
            <w:pPr>
              <w:ind w:left="1520"/>
              <w:spacing w:after="0"/>
              <w:rPr>
                <w:sz w:val="20"/>
                <w:szCs w:val="20"/>
                <w:color w:val="auto"/>
              </w:rPr>
            </w:pPr>
            <w:r>
              <w:rPr>
                <w:rFonts w:ascii="Times New Roman" w:cs="Times New Roman" w:eastAsia="Times New Roman" w:hAnsi="Times New Roman"/>
                <w:sz w:val="16"/>
                <w:szCs w:val="16"/>
                <w:color w:val="auto"/>
              </w:rPr>
              <w:t>By:</w:t>
            </w: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Harper Ko</w:t>
            </w:r>
          </w:p>
        </w:tc>
      </w:tr>
      <w:tr>
        <w:trPr>
          <w:trHeight w:val="207"/>
        </w:trPr>
        <w:tc>
          <w:tcPr>
            <w:tcW w:w="5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Harper Ko</w:t>
            </w:r>
          </w:p>
        </w:tc>
      </w:tr>
      <w:tr>
        <w:trPr>
          <w:trHeight w:val="229"/>
        </w:trPr>
        <w:tc>
          <w:tcPr>
            <w:tcW w:w="5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Legal Officer and Secretary</w:t>
            </w:r>
          </w:p>
        </w:tc>
      </w:tr>
    </w:tbl>
    <w:p>
      <w:pPr>
        <w:spacing w:after="0" w:line="1" w:lineRule="exact"/>
        <w:rPr>
          <w:sz w:val="20"/>
          <w:szCs w:val="20"/>
          <w:color w:val="auto"/>
        </w:rPr>
      </w:pPr>
    </w:p>
    <w:sectPr>
      <w:pgSz w:w="11900" w:h="16838" w:orient="portrait"/>
      <w:cols w:equalWidth="0" w:num="1">
        <w:col w:w="11200"/>
      </w:cols>
      <w:pgMar w:left="320" w:top="89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2022-08-17T15:38:51Z</dcterms:created>
  <dcterms:modified xsi:type="dcterms:W3CDTF">2022-08-17T15:38:51Z</dcterms:modified>
</cp:coreProperties>
</file>