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PENN Entertainment,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0-24206</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23-2234473</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3900" w:space="720"/>
            <w:col w:w="2800" w:space="720"/>
            <w:col w:w="3100"/>
          </w:cols>
          <w:pgMar w:left="320" w:top="754" w:right="3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825 Berkshire Blvd.,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Wyomissing, PA 19610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610-373-2400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211" w:lineRule="exact"/>
        <w:rPr>
          <w:rFonts w:ascii="MS PGothic" w:cs="MS PGothic" w:eastAsia="MS PGothic" w:hAnsi="MS PGothic"/>
          <w:sz w:val="18"/>
          <w:szCs w:val="18"/>
          <w:color w:val="auto"/>
        </w:rPr>
      </w:pPr>
    </w:p>
    <w:p>
      <w:pPr>
        <w:ind w:left="3560" w:right="2940" w:hanging="3552"/>
        <w:spacing w:after="0" w:line="511"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3"/>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6"/>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PENN</w:t>
            </w:r>
          </w:p>
        </w:tc>
        <w:tc>
          <w:tcPr>
            <w:tcW w:w="358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November 26, 2025, PENN Entertainment, Inc. (“PENN”) filed with the U.S. District Court for the Eastern District of Pennsylvania the report of the special litigation committee (the “Special Litigation Committee Report”) in connection with the case captioned </w:t>
      </w:r>
      <w:r>
        <w:rPr>
          <w:rFonts w:ascii="Times New Roman" w:cs="Times New Roman" w:eastAsia="Times New Roman" w:hAnsi="Times New Roman"/>
          <w:sz w:val="18"/>
          <w:szCs w:val="18"/>
          <w:i w:val="1"/>
          <w:iCs w:val="1"/>
          <w:color w:val="auto"/>
        </w:rPr>
        <w:t>HG Vora Capital Management, LLC,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al. </w:t>
      </w:r>
      <w:r>
        <w:rPr>
          <w:rFonts w:ascii="Times New Roman" w:cs="Times New Roman" w:eastAsia="Times New Roman" w:hAnsi="Times New Roman"/>
          <w:sz w:val="18"/>
          <w:szCs w:val="18"/>
          <w:color w:val="auto"/>
        </w:rPr>
        <w:t>v.</w:t>
      </w:r>
      <w:r>
        <w:rPr>
          <w:rFonts w:ascii="Times New Roman" w:cs="Times New Roman" w:eastAsia="Times New Roman" w:hAnsi="Times New Roman"/>
          <w:sz w:val="18"/>
          <w:szCs w:val="18"/>
          <w:i w:val="1"/>
          <w:iCs w:val="1"/>
          <w:color w:val="auto"/>
        </w:rPr>
        <w:t xml:space="preserve"> PENN Entertainment, Inc., et al</w:t>
      </w:r>
      <w:r>
        <w:rPr>
          <w:rFonts w:ascii="Times New Roman" w:cs="Times New Roman" w:eastAsia="Times New Roman" w:hAnsi="Times New Roman"/>
          <w:sz w:val="18"/>
          <w:szCs w:val="18"/>
          <w:color w:val="auto"/>
        </w:rPr>
        <w:t>., No. 5:25-cv-02313. Pursuant to Pennsylvania law, the Board of Directors of PENN (the “Board”)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constituted the special litigation committee to review and investigate the HG Vora plaintiffs’ claim that the members of the Board breached their fiduciary duties when the Board decreased the number of Class II directors from three to two and to determine what action, if any, the Board should take in response to the claim. The special litigation committee is composed of two qualified, disinterested and independent individuals who are not members of the Board and are supported by independent outside counsel.</w:t>
      </w:r>
    </w:p>
    <w:p>
      <w:pPr>
        <w:spacing w:after="0" w:line="189"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The Special Litigation Committee Report states, among other things, that the special litigation committee determined that the Board acted on an informed basis, in good faith and for the best interests of PENN in the exercise of its business judgment in its decision to reduce the overall size of the Board from nine to eight and that the special litigation committee has concluded, based upon its review of the shareholder claims, allegations, factual materials and legal authority, that it would not be in the best interests of PENN to pursue the HG Vora derivative claims or take other action.</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is being furnished to the U.S. Securities and Exchange Commission and shall not be deemed “filed” for purposes of Section 18 of the Securities Exchange Act of 1934, as amended (the “Exchange Act”), or otherwise subject to the liabilities of that section. This information shall not be incorporated by reference in any filing under the Securities Act of 1933, as amended, or the Exchange Act, except as shall be expressly set forth by specific reference 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0" w:val="left"/>
          <w:tab w:leader="none" w:pos="5620" w:val="left"/>
        </w:tabs>
        <w:rPr>
          <w:sz w:val="20"/>
          <w:szCs w:val="20"/>
          <w:color w:val="auto"/>
        </w:rPr>
      </w:pPr>
      <w:r>
        <w:rPr>
          <w:rFonts w:ascii="Times New Roman" w:cs="Times New Roman" w:eastAsia="Times New Roman" w:hAnsi="Times New Roman"/>
          <w:sz w:val="18"/>
          <w:szCs w:val="18"/>
          <w:color w:val="auto"/>
        </w:rPr>
        <w:t>Date:</w:t>
        <w:tab/>
        <w:t>November 26, 2025</w:t>
      </w:r>
      <w:r>
        <w:rPr>
          <w:sz w:val="20"/>
          <w:szCs w:val="20"/>
          <w:color w:val="auto"/>
        </w:rPr>
        <w:tab/>
      </w:r>
      <w:r>
        <w:rPr>
          <w:rFonts w:ascii="Times New Roman" w:cs="Times New Roman" w:eastAsia="Times New Roman" w:hAnsi="Times New Roman"/>
          <w:sz w:val="17"/>
          <w:szCs w:val="17"/>
          <w:color w:val="auto"/>
        </w:rPr>
        <w:t>PENN ENTERTAINMENT,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Christopher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Christopher Rogers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Chief Strategy and Legal Officer 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600"/>
      </w:cols>
      <w:pgMar w:left="320" w:top="900"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2025-11-26T07:25:45Z</dcterms:created>
  <dcterms:modified xsi:type="dcterms:W3CDTF">2025-11-26T07:25:45Z</dcterms:modified>
</cp:coreProperties>
</file>