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ANNUAL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Commission file number 0-24206 </w:t>
      </w:r>
    </w:p>
    <w:p>
      <w:pPr>
        <w:pStyle w:val="TextBody"/>
        <w:bidi w:val="0"/>
        <w:spacing w:lineRule="auto" w:line="288" w:before="0" w:after="60"/>
        <w:jc w:val="center"/>
        <w:rPr/>
      </w:pPr>
      <w:r>
        <w:rPr>
          <w:rFonts w:ascii="Times New Roman;serif" w:hAnsi="Times New Roman;serif"/>
          <w:b/>
          <w:color w:val="000000"/>
          <w:sz w:val="48"/>
        </w:rPr>
        <w:t>PENN Entertainment, Inc.</w:t>
      </w:r>
      <w:r>
        <w:rPr>
          <w:color w:val="000000"/>
        </w:rPr>
        <w:t xml:space="preserve"> </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9"/>
        <w:gridCol w:w="1579"/>
        <w:gridCol w:w="1587"/>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23-2234473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825 Berkshire Blvd., Suite 200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Wyomissing, Pennsylvania 19610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officers)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(610) 373-2400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758" w:type="dxa"/>
        <w:jc w:val="left"/>
        <w:tblInd w:w="0" w:type="dxa"/>
        <w:tblLayout w:type="fixed"/>
        <w:tblCellMar>
          <w:top w:w="28" w:type="dxa"/>
          <w:left w:w="28" w:type="dxa"/>
          <w:bottom w:w="28" w:type="dxa"/>
          <w:right w:w="28" w:type="dxa"/>
        </w:tblCellMar>
      </w:tblPr>
      <w:tblGrid>
        <w:gridCol w:w="1325"/>
        <w:gridCol w:w="1160"/>
        <w:gridCol w:w="1174"/>
        <w:gridCol w:w="464"/>
        <w:gridCol w:w="464"/>
        <w:gridCol w:w="466"/>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June 30, 2025, the aggregate market value of the voting common stock held by non-affiliates of the registrant was $2.5 billion. Such aggregate market value was computed by reference to the closing price of the common stock as reported on the NASDAQ Global Select Market on June 30, 2025. As of February 23, 2026, the number of shares of the registrant’s common stock outstanding was 133,546,273 (including 98,920 shares of a subsidiary of registrant which are exchangeable into registrant’s common stock).</w:t>
      </w:r>
    </w:p>
    <w:p>
      <w:pPr>
        <w:pStyle w:val="TextBody"/>
        <w:bidi w:val="0"/>
        <w:spacing w:before="0" w:after="120"/>
        <w:ind w:left="0" w:right="0" w:firstLine="360"/>
        <w:jc w:val="left"/>
        <w:rPr/>
      </w:pPr>
      <w:r>
        <w:rPr/>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Portions of the registrant’s definitive 2026 proxy statement, anticipated to be filed with the Securities and Exchange Commission within 120 days after the end of the registrant’s fiscal year, are incorporated by reference into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0"/>
        <w:gridCol w:w="3063"/>
        <w:gridCol w:w="3070"/>
        <w:gridCol w:w="167"/>
        <w:gridCol w:w="167"/>
        <w:gridCol w:w="238"/>
      </w:tblGrid>
      <w:tr>
        <w:trPr/>
        <w:tc>
          <w:tcPr>
            <w:tcW w:w="3500"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3">
              <w:r>
                <w:rPr>
                  <w:rStyle w:val="InternetLink"/>
                  <w:rFonts w:ascii="Times New Roman;serif" w:hAnsi="Times New Roman;serif"/>
                  <w:b/>
                  <w:color w:val="0000FF"/>
                  <w:sz w:val="20"/>
                  <w:u w:val="single"/>
                </w:rPr>
                <w:t>PART I</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6">
              <w:r>
                <w:rPr>
                  <w:rStyle w:val="InternetLink"/>
                  <w:rFonts w:ascii="Times New Roman;serif" w:hAnsi="Times New Roman;serif"/>
                  <w:b w:val="false"/>
                  <w:color w:val="0000FF"/>
                  <w:sz w:val="20"/>
                  <w:u w:val="single"/>
                </w:rPr>
                <w:t>Item 1.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16">
              <w:r>
                <w:rPr>
                  <w:rStyle w:val="InternetLink"/>
                  <w:rFonts w:ascii="Times New Roman;serif" w:hAnsi="Times New Roman;serif"/>
                  <w:b w:val="false"/>
                  <w:color w:val="0000FF"/>
                  <w:sz w:val="20"/>
                  <w:u w:val="single"/>
                </w:rPr>
                <w:t>1</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61">
              <w:r>
                <w:rPr>
                  <w:rStyle w:val="InternetLink"/>
                  <w:rFonts w:ascii="Times New Roman;serif" w:hAnsi="Times New Roman;serif"/>
                  <w:b w:val="false"/>
                  <w:color w:val="0000FF"/>
                  <w:sz w:val="20"/>
                  <w:u w:val="single"/>
                </w:rPr>
                <w:t>Item 1A. 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61">
              <w:r>
                <w:rPr>
                  <w:rStyle w:val="InternetLink"/>
                  <w:rFonts w:ascii="Times New Roman;serif" w:hAnsi="Times New Roman;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64">
              <w:r>
                <w:rPr>
                  <w:rStyle w:val="InternetLink"/>
                  <w:rFonts w:ascii="Times New Roman;serif" w:hAnsi="Times New Roman;serif"/>
                  <w:b w:val="false"/>
                  <w:color w:val="0000FF"/>
                  <w:sz w:val="20"/>
                  <w:u w:val="single"/>
                </w:rPr>
                <w:t>Item 1B. 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64">
              <w:r>
                <w:rPr>
                  <w:rStyle w:val="InternetLink"/>
                  <w:rFonts w:ascii="Times New Roman;serif" w:hAnsi="Times New Roman;serif"/>
                  <w:b w:val="false"/>
                  <w:color w:val="0000FF"/>
                  <w:sz w:val="20"/>
                  <w:u w:val="single"/>
                </w:rPr>
                <w:t>29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67">
              <w:r>
                <w:rPr>
                  <w:rStyle w:val="InternetLink"/>
                  <w:rFonts w:ascii="Times New Roman;serif" w:hAnsi="Times New Roman;serif"/>
                  <w:b w:val="false"/>
                  <w:color w:val="0000FF"/>
                  <w:sz w:val="20"/>
                  <w:u w:val="single"/>
                </w:rPr>
                <w:t>Item 1C. 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67">
              <w:r>
                <w:rPr>
                  <w:rStyle w:val="InternetLink"/>
                  <w:rFonts w:ascii="Times New Roman;serif" w:hAnsi="Times New Roman;serif"/>
                  <w:b w:val="false"/>
                  <w:color w:val="0000FF"/>
                  <w:sz w:val="20"/>
                  <w:u w:val="single"/>
                </w:rPr>
                <w:t>29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70">
              <w:r>
                <w:rPr>
                  <w:rStyle w:val="InternetLink"/>
                  <w:rFonts w:ascii="Times New Roman;serif" w:hAnsi="Times New Roman;serif"/>
                  <w:b w:val="false"/>
                  <w:color w:val="0000FF"/>
                  <w:sz w:val="20"/>
                  <w:u w:val="single"/>
                </w:rPr>
                <w:t>Item 2. Properties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70">
              <w:r>
                <w:rPr>
                  <w:rStyle w:val="InternetLink"/>
                  <w:rFonts w:ascii="Times New Roman;serif" w:hAnsi="Times New Roman;serif"/>
                  <w:b w:val="false"/>
                  <w:color w:val="0000FF"/>
                  <w:sz w:val="20"/>
                  <w:u w:val="single"/>
                </w:rPr>
                <w:t>32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73">
              <w:r>
                <w:rPr>
                  <w:rStyle w:val="InternetLink"/>
                  <w:rFonts w:ascii="Times New Roman;serif" w:hAnsi="Times New Roman;serif"/>
                  <w:b w:val="false"/>
                  <w:color w:val="0000FF"/>
                  <w:sz w:val="20"/>
                  <w:u w:val="single"/>
                </w:rPr>
                <w:t>Item 3.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73">
              <w:r>
                <w:rPr>
                  <w:rStyle w:val="InternetLink"/>
                  <w:rFonts w:ascii="Times New Roman;serif" w:hAnsi="Times New Roman;serif"/>
                  <w:b w:val="false"/>
                  <w:color w:val="0000FF"/>
                  <w:sz w:val="20"/>
                  <w:u w:val="single"/>
                </w:rPr>
                <w:t>33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76">
              <w:r>
                <w:rPr>
                  <w:rStyle w:val="InternetLink"/>
                  <w:rFonts w:ascii="Times New Roman;serif" w:hAnsi="Times New Roman;serif"/>
                  <w:b w:val="false"/>
                  <w:color w:val="0000FF"/>
                  <w:sz w:val="20"/>
                  <w:u w:val="single"/>
                </w:rPr>
                <w:t>Item 4. 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76">
              <w:r>
                <w:rPr>
                  <w:rStyle w:val="InternetLink"/>
                  <w:rFonts w:ascii="Times New Roman;serif" w:hAnsi="Times New Roman;serif"/>
                  <w:b w:val="false"/>
                  <w:color w:val="0000FF"/>
                  <w:sz w:val="20"/>
                  <w:u w:val="single"/>
                </w:rPr>
                <w:t>33</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79">
              <w:r>
                <w:rPr>
                  <w:rStyle w:val="InternetLink"/>
                  <w:rFonts w:ascii="Times New Roman;serif" w:hAnsi="Times New Roman;serif"/>
                  <w:b/>
                  <w:color w:val="0000FF"/>
                  <w:sz w:val="20"/>
                  <w:u w:val="single"/>
                </w:rPr>
                <w:t>PART II</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82">
              <w:r>
                <w:rPr>
                  <w:rStyle w:val="InternetLink"/>
                  <w:rFonts w:ascii="Times New Roman;serif" w:hAnsi="Times New Roman;serif"/>
                  <w:b w:val="false"/>
                  <w:color w:val="0000FF"/>
                  <w:sz w:val="20"/>
                  <w:u w:val="single"/>
                </w:rPr>
                <w:t>Item 5. Market for the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82">
              <w:r>
                <w:rPr>
                  <w:rStyle w:val="InternetLink"/>
                  <w:rFonts w:ascii="Times New Roman;serif" w:hAnsi="Times New Roman;serif"/>
                  <w:b w:val="false"/>
                  <w:color w:val="0000FF"/>
                  <w:sz w:val="20"/>
                  <w:u w:val="single"/>
                </w:rPr>
                <w:t>33</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85">
              <w:r>
                <w:rPr>
                  <w:rStyle w:val="InternetLink"/>
                  <w:rFonts w:ascii="Times New Roman;serif" w:hAnsi="Times New Roman;serif"/>
                  <w:b w:val="false"/>
                  <w:color w:val="0000FF"/>
                  <w:sz w:val="20"/>
                  <w:u w:val="single"/>
                </w:rPr>
                <w:t>Item 6. Reserved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85">
              <w:r>
                <w:rPr>
                  <w:rStyle w:val="InternetLink"/>
                  <w:rFonts w:ascii="Times New Roman;serif" w:hAnsi="Times New Roman;serif"/>
                  <w:b w:val="false"/>
                  <w:color w:val="0000FF"/>
                  <w:sz w:val="20"/>
                  <w:u w:val="single"/>
                </w:rPr>
                <w:t>35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88">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88">
              <w:r>
                <w:rPr>
                  <w:rStyle w:val="InternetLink"/>
                  <w:rFonts w:ascii="Times New Roman;serif" w:hAnsi="Times New Roman;serif"/>
                  <w:b w:val="false"/>
                  <w:color w:val="0000FF"/>
                  <w:sz w:val="20"/>
                  <w:u w:val="single"/>
                </w:rPr>
                <w:t>35</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15">
              <w:r>
                <w:rPr>
                  <w:rStyle w:val="InternetLink"/>
                  <w:rFonts w:ascii="Times New Roman;serif" w:hAnsi="Times New Roman;serif"/>
                  <w:b w:val="false"/>
                  <w:color w:val="0000FF"/>
                  <w:sz w:val="20"/>
                  <w:u w:val="single"/>
                </w:rPr>
                <w:t>Item 7A. 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115">
              <w:r>
                <w:rPr>
                  <w:rStyle w:val="InternetLink"/>
                  <w:rFonts w:ascii="Times New Roman;serif" w:hAnsi="Times New Roman;serif"/>
                  <w:b w:val="false"/>
                  <w:color w:val="0000FF"/>
                  <w:sz w:val="20"/>
                  <w:u w:val="single"/>
                </w:rPr>
                <w:t>55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18">
              <w:r>
                <w:rPr>
                  <w:rStyle w:val="InternetLink"/>
                  <w:rFonts w:ascii="Times New Roman;serif" w:hAnsi="Times New Roman;serif"/>
                  <w:b w:val="false"/>
                  <w:color w:val="0000FF"/>
                  <w:sz w:val="20"/>
                  <w:u w:val="single"/>
                </w:rPr>
                <w:t>Item 8. 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118">
              <w:r>
                <w:rPr>
                  <w:rStyle w:val="InternetLink"/>
                  <w:rFonts w:ascii="Times New Roman;serif" w:hAnsi="Times New Roman;serif"/>
                  <w:b w:val="false"/>
                  <w:color w:val="0000FF"/>
                  <w:sz w:val="20"/>
                  <w:u w:val="single"/>
                </w:rPr>
                <w:t>57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20">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20">
              <w:r>
                <w:rPr>
                  <w:rStyle w:val="InternetLink"/>
                  <w:rFonts w:ascii="Times New Roman;serif" w:hAnsi="Times New Roman;serif"/>
                  <w:b w:val="false"/>
                  <w:color w:val="0000FF"/>
                  <w:sz w:val="20"/>
                  <w:u w:val="single"/>
                </w:rPr>
                <w:t>115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23">
              <w:r>
                <w:rPr>
                  <w:rStyle w:val="InternetLink"/>
                  <w:rFonts w:ascii="Times New Roman;serif" w:hAnsi="Times New Roman;serif"/>
                  <w:b w:val="false"/>
                  <w:color w:val="0000FF"/>
                  <w:sz w:val="20"/>
                  <w:u w:val="single"/>
                </w:rPr>
                <w:t>Item 9A. 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23">
              <w:r>
                <w:rPr>
                  <w:rStyle w:val="InternetLink"/>
                  <w:rFonts w:ascii="Times New Roman;serif" w:hAnsi="Times New Roman;serif"/>
                  <w:b w:val="false"/>
                  <w:color w:val="0000FF"/>
                  <w:sz w:val="20"/>
                  <w:u w:val="single"/>
                </w:rPr>
                <w:t>115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26">
              <w:r>
                <w:rPr>
                  <w:rStyle w:val="InternetLink"/>
                  <w:rFonts w:ascii="Times New Roman;serif" w:hAnsi="Times New Roman;serif"/>
                  <w:b w:val="false"/>
                  <w:color w:val="0000FF"/>
                  <w:sz w:val="20"/>
                  <w:u w:val="single"/>
                </w:rPr>
                <w:t>Item 9B.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26">
              <w:r>
                <w:rPr>
                  <w:rStyle w:val="InternetLink"/>
                  <w:rFonts w:ascii="Times New Roman;serif" w:hAnsi="Times New Roman;serif"/>
                  <w:b w:val="false"/>
                  <w:color w:val="0000FF"/>
                  <w:sz w:val="20"/>
                  <w:u w:val="single"/>
                </w:rPr>
                <w:t>115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29">
              <w:r>
                <w:rPr>
                  <w:rStyle w:val="InternetLink"/>
                  <w:rFonts w:ascii="Times New Roman;serif" w:hAnsi="Times New Roman;serif"/>
                  <w:b w:val="false"/>
                  <w:color w:val="0000FF"/>
                  <w:sz w:val="20"/>
                  <w:u w:val="single"/>
                </w:rPr>
                <w:t>Item 9C. 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29">
              <w:r>
                <w:rPr>
                  <w:rStyle w:val="InternetLink"/>
                  <w:rFonts w:ascii="Times New Roman;serif" w:hAnsi="Times New Roman;serif"/>
                  <w:b w:val="false"/>
                  <w:color w:val="0000FF"/>
                  <w:sz w:val="20"/>
                  <w:u w:val="single"/>
                </w:rPr>
                <w:t>115</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232">
              <w:r>
                <w:rPr>
                  <w:rStyle w:val="InternetLink"/>
                  <w:rFonts w:ascii="Times New Roman;serif" w:hAnsi="Times New Roman;serif"/>
                  <w:b/>
                  <w:color w:val="0000FF"/>
                  <w:sz w:val="20"/>
                  <w:u w:val="single"/>
                </w:rPr>
                <w:t>PART III</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35">
              <w:r>
                <w:rPr>
                  <w:rStyle w:val="InternetLink"/>
                  <w:rFonts w:ascii="Times New Roman;serif" w:hAnsi="Times New Roman;serif"/>
                  <w:b w:val="false"/>
                  <w:color w:val="000080"/>
                  <w:sz w:val="20"/>
                  <w:u w:val="single"/>
                </w:rPr>
                <w:t>Item 10. Directors, Executive Officers</w:t>
              </w:r>
            </w:hyperlink>
            <w:hyperlink w:anchor="ic1a494480e6146a1a6acab9187fe13be_235">
              <w:r>
                <w:rPr>
                  <w:rStyle w:val="InternetLink"/>
                  <w:rFonts w:ascii="Times New Roman;serif" w:hAnsi="Times New Roman;serif"/>
                  <w:b w:val="false"/>
                  <w:color w:val="000080"/>
                  <w:sz w:val="20"/>
                  <w:u w:val="single"/>
                </w:rPr>
                <w:t>,</w:t>
              </w:r>
            </w:hyperlink>
            <w:hyperlink w:anchor="ic1a494480e6146a1a6acab9187fe13be_235">
              <w:r>
                <w:rPr>
                  <w:rStyle w:val="InternetLink"/>
                  <w:rFonts w:ascii="Times New Roman;serif" w:hAnsi="Times New Roman;serif"/>
                  <w:b w:val="false"/>
                  <w:color w:val="000080"/>
                  <w:sz w:val="20"/>
                  <w:u w:val="single"/>
                </w:rPr>
                <w:t xml:space="preserve">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35">
              <w:r>
                <w:rPr>
                  <w:rStyle w:val="InternetLink"/>
                  <w:rFonts w:ascii="Times New Roman;serif" w:hAnsi="Times New Roman;serif"/>
                  <w:b w:val="false"/>
                  <w:color w:val="0000FF"/>
                  <w:sz w:val="20"/>
                  <w:u w:val="single"/>
                </w:rPr>
                <w:t>116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38">
              <w:r>
                <w:rPr>
                  <w:rStyle w:val="InternetLink"/>
                  <w:rFonts w:ascii="Times New Roman;serif" w:hAnsi="Times New Roman;serif"/>
                  <w:b w:val="false"/>
                  <w:color w:val="0000FF"/>
                  <w:sz w:val="20"/>
                  <w:u w:val="single"/>
                </w:rPr>
                <w:t>Item 11.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38">
              <w:r>
                <w:rPr>
                  <w:rStyle w:val="InternetLink"/>
                  <w:rFonts w:ascii="Times New Roman;serif" w:hAnsi="Times New Roman;serif"/>
                  <w:b w:val="false"/>
                  <w:color w:val="0000FF"/>
                  <w:sz w:val="20"/>
                  <w:u w:val="single"/>
                </w:rPr>
                <w:t>116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41">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41">
              <w:r>
                <w:rPr>
                  <w:rStyle w:val="InternetLink"/>
                  <w:rFonts w:ascii="Times New Roman;serif" w:hAnsi="Times New Roman;serif"/>
                  <w:b w:val="false"/>
                  <w:color w:val="0000FF"/>
                  <w:sz w:val="20"/>
                  <w:u w:val="single"/>
                </w:rPr>
                <w:t>116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44">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44">
              <w:r>
                <w:rPr>
                  <w:rStyle w:val="InternetLink"/>
                  <w:rFonts w:ascii="Times New Roman;serif" w:hAnsi="Times New Roman;serif"/>
                  <w:b w:val="false"/>
                  <w:color w:val="0000FF"/>
                  <w:sz w:val="20"/>
                  <w:u w:val="single"/>
                </w:rPr>
                <w:t>116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47">
              <w:r>
                <w:rPr>
                  <w:rStyle w:val="InternetLink"/>
                  <w:rFonts w:ascii="Times New Roman;serif" w:hAnsi="Times New Roman;serif"/>
                  <w:b w:val="false"/>
                  <w:color w:val="0000FF"/>
                  <w:sz w:val="20"/>
                  <w:u w:val="single"/>
                </w:rPr>
                <w:t>Item 14. 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47">
              <w:r>
                <w:rPr>
                  <w:rStyle w:val="InternetLink"/>
                  <w:rFonts w:ascii="Times New Roman;serif" w:hAnsi="Times New Roman;serif"/>
                  <w:b w:val="false"/>
                  <w:color w:val="0000FF"/>
                  <w:sz w:val="20"/>
                  <w:u w:val="single"/>
                </w:rPr>
                <w:t>116</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250">
              <w:r>
                <w:rPr>
                  <w:rStyle w:val="InternetLink"/>
                  <w:rFonts w:ascii="Times New Roman;serif" w:hAnsi="Times New Roman;serif"/>
                  <w:b/>
                  <w:color w:val="0000FF"/>
                  <w:sz w:val="20"/>
                  <w:u w:val="single"/>
                </w:rPr>
                <w:t>PART IV</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53">
              <w:r>
                <w:rPr>
                  <w:rStyle w:val="InternetLink"/>
                  <w:rFonts w:ascii="Times New Roman;serif" w:hAnsi="Times New Roman;serif"/>
                  <w:b w:val="false"/>
                  <w:color w:val="0000FF"/>
                  <w:sz w:val="20"/>
                  <w:u w:val="single"/>
                </w:rPr>
                <w:t>Item 15. Exhibits, Financial Statement Schedules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53">
              <w:r>
                <w:rPr>
                  <w:rStyle w:val="InternetLink"/>
                  <w:rFonts w:ascii="Times New Roman;serif" w:hAnsi="Times New Roman;serif"/>
                  <w:b w:val="false"/>
                  <w:color w:val="0000FF"/>
                  <w:sz w:val="20"/>
                  <w:u w:val="single"/>
                </w:rPr>
                <w:t>117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56">
              <w:r>
                <w:rPr>
                  <w:rStyle w:val="InternetLink"/>
                  <w:rFonts w:ascii="Times New Roman;serif" w:hAnsi="Times New Roman;serif"/>
                  <w:b w:val="false"/>
                  <w:color w:val="0000FF"/>
                  <w:sz w:val="20"/>
                  <w:u w:val="single"/>
                </w:rPr>
                <w:t>Item 16. Form 10-K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56">
              <w:r>
                <w:rPr>
                  <w:rStyle w:val="InternetLink"/>
                  <w:rFonts w:ascii="Times New Roman;serif" w:hAnsi="Times New Roman;serif"/>
                  <w:b w:val="false"/>
                  <w:color w:val="0000FF"/>
                  <w:sz w:val="20"/>
                  <w:u w:val="single"/>
                </w:rPr>
                <w:t>117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262">
              <w:r>
                <w:rPr>
                  <w:rStyle w:val="InternetLink"/>
                  <w:rFonts w:ascii="Times New Roman;serif" w:hAnsi="Times New Roman;serif"/>
                  <w:b w:val="false"/>
                  <w:color w:val="0000FF"/>
                  <w:sz w:val="20"/>
                  <w:u w:val="single"/>
                </w:rPr>
                <w:t>Signatures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494480e6146a1a6acab9187fe13be_262">
              <w:r>
                <w:rPr>
                  <w:rStyle w:val="InternetLink"/>
                  <w:rFonts w:ascii="Times New Roman;serif" w:hAnsi="Times New Roman;serif"/>
                  <w:b w:val="false"/>
                  <w:color w:val="0000FF"/>
                  <w:sz w:val="20"/>
                  <w:u w:val="single"/>
                </w:rPr>
                <w:t>125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SPECIAL NOTE REGARDING FORWARD LOOKING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These statements are included throughout the document, including within “Item 1A. Risk Factors,” and relate to the business strategy, prospects and financial position of PENN Entertainment, Inc., together with its subsidiaries (“PENN,” the “Company,” “we,” “our,” or “us”).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the Company’s expectations regarding the future success of theScore Bet, Hollywood iCasino and its other digital offerings; the Company’s expectations with respect to share repurchases; the Company’s expectations with respect to the integration and synergies related to the Company’s integration of theScore and the continued growth and monetization of the Company’s media business;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(“OSB”),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iCasino forward strategy and the rebranding of our U.S. OSB product to theScore Bet; our ability to attract and retain user adoption of theScore Bet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the impact of activist shareholders; adverse outcomes of litigation involving the Company; our ability to maintain our gaming licenses and concessions and comply with applicable gaming law, changes in current laws, regulations, rules or other industry standards, and additional factors discussed in “Risk Factors.” In light of these risks, uncertainties and assumptions, the forward-looking events and circumstances discussed in this Form 10-K may not occur and actual results could differ materially from those anticipated or implied in the forward-looking statements. All forward-looking statements in this Form 10-K are based on information available to us as of the date hereof, such information may be limited or incomplete, and we assume no obligation to update any such forward-looking statements. These statements are inherently uncertain, and investors are cautioned not to unduly rely upon these statements. The following discussion should be read in conjunction with our consolidated financial statements and the accompanying notes contained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00"/>
        <w:ind w:left="0" w:right="0" w:firstLine="360"/>
        <w:jc w:val="left"/>
        <w:rPr/>
      </w:pPr>
      <w:r>
        <w:rPr>
          <w:rFonts w:ascii="Times New Roman;serif" w:hAnsi="Times New Roman;serif"/>
          <w:b w:val="false"/>
          <w:color w:val="000000"/>
          <w:sz w:val="20"/>
        </w:rPr>
        <w:t>PENN Entertainment, Inc., together with its subsidiaries (“PENN,” the “Company,” “we,” “our,” or “us”), operates in 28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33 million members a unique set of rewards and experiences.</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6, 2025, the Company announced the early termination of our U.S. sportsbook agreement with ESPN, Inc. and ESPN Enterprises Inc. (together, “ESPN”), effective December 1, 2025. As a result, we realigned our digital focus to leverage the strength of our U.S. iCasino and Canadian operations, and we rebranded our OSB offering in the U.S. to theScore Bet, leveraging connectivity with theScore media app and our PENN Play loyalty program to drive cross-sell opportunities across our retail and digital ecosystem.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have five reportable segments: Northeast, South, West, Midwest, and Interactive. 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betting, media, and the operating results of Barstool Sports, Inc. (“Barstool” or “Barstool Sports”) subsequent to the Barstool Acquisition on February 17, 2023 and prior to the Barstool divestiture on August 8, 2023 (as defined and discussed in </w:t>
      </w:r>
      <w:hyperlink w:anchor="ic1a494480e6146a1a6acab9187fe13be_160">
        <w:r>
          <w:rPr>
            <w:rStyle w:val="InternetLink"/>
            <w:rFonts w:ascii="Times New Roman;serif" w:hAnsi="Times New Roman;serif"/>
            <w:b w:val="false"/>
            <w:color w:val="0000FF"/>
            <w:sz w:val="20"/>
            <w:u w:val="single"/>
          </w:rPr>
          <w:t>Note 5, “Acquisitions and Dispositions”</w:t>
        </w:r>
      </w:hyperlink>
      <w:r>
        <w:rPr>
          <w:color w:val="000000"/>
        </w:rPr>
        <w:t xml:space="preserve"> </w:t>
      </w:r>
      <w:r>
        <w:rPr>
          <w:rFonts w:ascii="Times New Roman;serif" w:hAnsi="Times New Roman;serif"/>
          <w:b w:val="false"/>
          <w:color w:val="000000"/>
          <w:sz w:val="20"/>
          <w:shd w:fill="FFFFFF" w:val="clear"/>
        </w:rPr>
        <w:t>in the notes to our Consolidated Financial Statements</w:t>
      </w:r>
      <w:r>
        <w:rPr>
          <w:rFonts w:ascii="Times New Roman;serif" w:hAnsi="Times New Roman;serif"/>
          <w:b w:val="false"/>
          <w:color w:val="000000"/>
          <w:sz w:val="20"/>
        </w:rPr>
        <w: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See </w:t>
      </w:r>
      <w:hyperlink w:anchor="ic1a494480e6146a1a6acab9187fe13be_205">
        <w:r>
          <w:rPr>
            <w:rStyle w:val="InternetLink"/>
            <w:rFonts w:ascii="Times New Roman;serif" w:hAnsi="Times New Roman;serif"/>
            <w:b w:val="false"/>
            <w:color w:val="0000FF"/>
            <w:sz w:val="20"/>
            <w:u w:val="single"/>
          </w:rPr>
          <w:t>Note 17, “Segment Information”</w:t>
        </w:r>
      </w:hyperlink>
      <w:r>
        <w:rPr>
          <w:color w:val="000000"/>
        </w:rPr>
        <w:t xml:space="preserve"> </w:t>
      </w:r>
      <w:r>
        <w:rPr>
          <w:rFonts w:ascii="Times New Roman;serif" w:hAnsi="Times New Roman;serif"/>
          <w:b w:val="false"/>
          <w:color w:val="000000"/>
          <w:sz w:val="20"/>
        </w:rPr>
        <w:t xml:space="preserve">and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for further segment and lease structure information,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Retail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managed, or had ownership interests in 42 gaming and racing properties in 19 states. In addition, we offer live sports betting at our properties in 14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Properties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In 2023, as part of our continuous capital investment strategy, the Company and GLPI amended and restated certain leases and entered into a master development agreement for planned redevelopment and relocation projects at certain properties which are expected to progress throughout 2026. See </w:t>
      </w:r>
      <w:hyperlink w:anchor="ic1a494480e6146a1a6acab9187fe13be_37">
        <w:r>
          <w:rPr>
            <w:rStyle w:val="InternetLink"/>
            <w:color w:val="0000FF"/>
            <w:u w:val="single"/>
          </w:rPr>
          <w:t>“</w:t>
        </w:r>
      </w:hyperlink>
      <w:hyperlink w:anchor="ic1a494480e6146a1a6acab9187fe13be_37">
        <w:r>
          <w:rPr>
            <w:rStyle w:val="InternetLink"/>
            <w:rFonts w:ascii="Times New Roman;serif" w:hAnsi="Times New Roman;serif"/>
            <w:b w:val="false"/>
            <w:color w:val="0000FF"/>
            <w:sz w:val="20"/>
            <w:u w:val="single"/>
          </w:rPr>
          <w:t>Triple Net Leases”</w:t>
        </w:r>
      </w:hyperlink>
      <w:r>
        <w:rPr>
          <w:color w:val="000000"/>
        </w:rPr>
        <w:t xml:space="preserve"> </w:t>
      </w:r>
      <w:r>
        <w:rPr>
          <w:rFonts w:ascii="Times New Roman;serif" w:hAnsi="Times New Roman;serif"/>
          <w:b w:val="false"/>
          <w:color w:val="000000"/>
          <w:sz w:val="20"/>
        </w:rPr>
        <w:t>below for further discussion.</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certain features of the properties owned, operated, or managed by us as of December 31, 2025, by reportable segment (all area and capacity metrics are approximate):</w:t>
      </w:r>
    </w:p>
    <w:tbl>
      <w:tblPr>
        <w:tblW w:w="10205" w:type="dxa"/>
        <w:jc w:val="left"/>
        <w:tblInd w:w="0" w:type="dxa"/>
        <w:tblLayout w:type="fixed"/>
        <w:tblCellMar>
          <w:top w:w="28" w:type="dxa"/>
          <w:left w:w="28" w:type="dxa"/>
          <w:bottom w:w="28" w:type="dxa"/>
          <w:right w:w="28" w:type="dxa"/>
        </w:tblCellMar>
      </w:tblPr>
      <w:tblGrid>
        <w:gridCol w:w="629"/>
        <w:gridCol w:w="431"/>
        <w:gridCol w:w="433"/>
        <w:gridCol w:w="384"/>
        <w:gridCol w:w="348"/>
        <w:gridCol w:w="273"/>
        <w:gridCol w:w="109"/>
        <w:gridCol w:w="109"/>
        <w:gridCol w:w="109"/>
        <w:gridCol w:w="559"/>
        <w:gridCol w:w="499"/>
        <w:gridCol w:w="501"/>
        <w:gridCol w:w="109"/>
        <w:gridCol w:w="109"/>
        <w:gridCol w:w="109"/>
        <w:gridCol w:w="427"/>
        <w:gridCol w:w="319"/>
        <w:gridCol w:w="310"/>
        <w:gridCol w:w="109"/>
        <w:gridCol w:w="109"/>
        <w:gridCol w:w="109"/>
        <w:gridCol w:w="302"/>
        <w:gridCol w:w="302"/>
        <w:gridCol w:w="303"/>
        <w:gridCol w:w="109"/>
        <w:gridCol w:w="109"/>
        <w:gridCol w:w="109"/>
        <w:gridCol w:w="281"/>
        <w:gridCol w:w="281"/>
        <w:gridCol w:w="283"/>
        <w:gridCol w:w="109"/>
        <w:gridCol w:w="109"/>
        <w:gridCol w:w="109"/>
        <w:gridCol w:w="230"/>
        <w:gridCol w:w="230"/>
        <w:gridCol w:w="231"/>
        <w:gridCol w:w="109"/>
        <w:gridCol w:w="109"/>
        <w:gridCol w:w="109"/>
        <w:gridCol w:w="196"/>
        <w:gridCol w:w="196"/>
        <w:gridCol w:w="295"/>
      </w:tblGrid>
      <w:tr>
        <w:trPr/>
        <w:tc>
          <w:tcPr>
            <w:tcW w:w="6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Assets Lease or Ownership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Type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Gaming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Gaming Machines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Table Games</w:t>
            </w:r>
            <w:r>
              <w:rPr>
                <w:color w:val="000000"/>
              </w:rPr>
              <w:t xml:space="preserv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Hotel Rooms</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Northeast segment</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Ameristar East Chicago </w:t>
            </w:r>
            <w:r>
              <w:rPr>
                <w:rFonts w:ascii="Times New Roman;serif" w:hAnsi="Times New Roman;serif"/>
                <w:b w:val="false"/>
                <w:color w:val="000000"/>
                <w:sz w:val="9"/>
              </w:rPr>
              <w:t>(2)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East Chicago,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288</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Hollywood Casino Bangor</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Bangor, 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152</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at Charles Town Races </w:t>
            </w:r>
            <w:r>
              <w:rPr>
                <w:rFonts w:ascii="Times New Roman;serif" w:hAnsi="Times New Roman;serif"/>
                <w:b w:val="false"/>
                <w:color w:val="000000"/>
                <w:sz w:val="9"/>
              </w:rPr>
              <w:t>(2)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Charles Town, WV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153</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Columbus </w:t>
            </w:r>
            <w:r>
              <w:rPr>
                <w:rFonts w:ascii="Times New Roman;serif" w:hAnsi="Times New Roman;serif"/>
                <w:b w:val="false"/>
                <w:color w:val="000000"/>
                <w:sz w:val="9"/>
              </w:rPr>
              <w:t>(2)</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Columbus,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at Greektown </w:t>
            </w:r>
            <w:r>
              <w:rPr>
                <w:rFonts w:ascii="Times New Roman;serif" w:hAnsi="Times New Roman;serif"/>
                <w:b w:val="false"/>
                <w:color w:val="000000"/>
                <w:sz w:val="9"/>
              </w:rPr>
              <w:t>(2)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Detroit, 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VICI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400</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Hollywood Casino Lawrenceburg</w:t>
            </w:r>
            <w:r>
              <w:rPr>
                <w:color w:val="000000"/>
              </w:rPr>
              <w:t xml:space="preserve"> </w:t>
            </w:r>
            <w:r>
              <w:rPr>
                <w:rFonts w:ascii="Times New Roman;serif" w:hAnsi="Times New Roman;serif"/>
                <w:b w:val="false"/>
                <w:color w:val="000000"/>
                <w:sz w:val="9"/>
              </w:rPr>
              <w:t>(2)(3)</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Lawrenceburg,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463</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Morgantown </w:t>
            </w:r>
            <w:r>
              <w:rPr>
                <w:rFonts w:ascii="Times New Roman;serif" w:hAnsi="Times New Roman;serif"/>
                <w:b w:val="false"/>
                <w:color w:val="000000"/>
                <w:sz w:val="9"/>
              </w:rPr>
              <w:t>(2)(4)</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Morgantown,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Morgantown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7"/>
        <w:gridCol w:w="601"/>
        <w:gridCol w:w="603"/>
        <w:gridCol w:w="407"/>
        <w:gridCol w:w="367"/>
        <w:gridCol w:w="343"/>
        <w:gridCol w:w="109"/>
        <w:gridCol w:w="109"/>
        <w:gridCol w:w="109"/>
        <w:gridCol w:w="576"/>
        <w:gridCol w:w="460"/>
        <w:gridCol w:w="462"/>
        <w:gridCol w:w="109"/>
        <w:gridCol w:w="109"/>
        <w:gridCol w:w="109"/>
        <w:gridCol w:w="535"/>
        <w:gridCol w:w="452"/>
        <w:gridCol w:w="454"/>
        <w:gridCol w:w="109"/>
        <w:gridCol w:w="109"/>
        <w:gridCol w:w="109"/>
        <w:gridCol w:w="228"/>
        <w:gridCol w:w="228"/>
        <w:gridCol w:w="235"/>
        <w:gridCol w:w="109"/>
        <w:gridCol w:w="109"/>
        <w:gridCol w:w="109"/>
        <w:gridCol w:w="169"/>
        <w:gridCol w:w="169"/>
        <w:gridCol w:w="173"/>
        <w:gridCol w:w="109"/>
        <w:gridCol w:w="109"/>
        <w:gridCol w:w="109"/>
        <w:gridCol w:w="144"/>
        <w:gridCol w:w="144"/>
        <w:gridCol w:w="148"/>
        <w:gridCol w:w="109"/>
        <w:gridCol w:w="109"/>
        <w:gridCol w:w="109"/>
        <w:gridCol w:w="140"/>
        <w:gridCol w:w="140"/>
        <w:gridCol w:w="208"/>
      </w:tblGrid>
      <w:tr>
        <w:trPr/>
        <w:tc>
          <w:tcPr>
            <w:tcW w:w="85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at PENN National Race Course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Grantville,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Perryville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Perryville,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at The Meadows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Hollywood Casino Toledo</w:t>
            </w:r>
            <w:r>
              <w:rPr>
                <w:color w:val="000000"/>
              </w:rPr>
              <w:t xml:space="preserve">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Toledo,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York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York,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Operating Lease (not with REIT Landlord)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Gaming at Dayton Raceway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Dayton,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Gaming at Mahoning Valley Race Course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Youngstown,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Marquee by PENN</w:t>
            </w:r>
            <w:r>
              <w:rPr>
                <w:color w:val="000000"/>
              </w:rPr>
              <w:t xml:space="preserve"> </w:t>
            </w:r>
            <w:r>
              <w:rPr>
                <w:rFonts w:ascii="Times New Roman;serif" w:hAnsi="Times New Roman;serif"/>
                <w:b w:val="false"/>
                <w:color w:val="000000"/>
                <w:sz w:val="9"/>
              </w:rPr>
              <w:t>(5)</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Plainridge Park Casino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Plainville,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South segment</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1</w:t>
            </w:r>
            <w:r>
              <w:rPr>
                <w:rFonts w:ascii="Times New Roman;serif" w:hAnsi="Times New Roman;serif"/>
                <w:b w:val="false"/>
                <w:color w:val="000000"/>
                <w:sz w:val="9"/>
              </w:rPr>
              <w:t>st</w:t>
            </w:r>
            <w:r>
              <w:rPr>
                <w:color w:val="000000"/>
              </w:rPr>
              <w:t xml:space="preserve"> </w:t>
            </w:r>
            <w:r>
              <w:rPr>
                <w:rFonts w:ascii="Times New Roman;serif" w:hAnsi="Times New Roman;serif"/>
                <w:b w:val="false"/>
                <w:color w:val="000000"/>
                <w:sz w:val="14"/>
              </w:rPr>
              <w:t xml:space="preserve">Jackpot Casino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Tunica,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Ameristar Vicksburg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Vicksburg,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148</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Boomtown Biloxi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Boomtown Bossier City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Bossier City,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187</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Boomtown New Orleans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Gulf Coast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Bay St. Louis,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291</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Tunica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Tunica,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494</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L’Auberge Baton Rouge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Baton Rouge,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205</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L’Auberge Lake Charles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Lake Charles,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995</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Margaritaville Resort Casino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Bossier City,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VICI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395</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West segment</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Ameristar Black Hawk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 Hawk,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536</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Cactus Petes and Horseshu</w:t>
            </w:r>
            <w:r>
              <w:rPr>
                <w:color w:val="000000"/>
              </w:rPr>
              <w:t xml:space="preserve">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Jackpot,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416</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M Resort Spa Casino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Henderson,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765</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Zia Park Casino</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Hobbs, 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154</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Midwest segment</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Ameristar Council Bluffs </w:t>
            </w:r>
            <w:r>
              <w:rPr>
                <w:rFonts w:ascii="Times New Roman;serif" w:hAnsi="Times New Roman;serif"/>
                <w:b w:val="false"/>
                <w:color w:val="000000"/>
                <w:sz w:val="9"/>
              </w:rPr>
              <w:t>(2)(6)</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Council Bluffs,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444</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Argosy Casino Alton </w:t>
            </w:r>
            <w:r>
              <w:rPr>
                <w:rFonts w:ascii="Times New Roman;serif" w:hAnsi="Times New Roman;serif"/>
                <w:b w:val="false"/>
                <w:color w:val="000000"/>
                <w:sz w:val="9"/>
              </w:rPr>
              <w:t>(2)(7)</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Alton,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Argosy Casino Riverside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Riverside,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58,850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258</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Aurora </w:t>
            </w:r>
            <w:r>
              <w:rPr>
                <w:rFonts w:ascii="Times New Roman;serif" w:hAnsi="Times New Roman;serif"/>
                <w:b w:val="false"/>
                <w:color w:val="000000"/>
                <w:sz w:val="9"/>
              </w:rPr>
              <w:t>(2)</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Aurora,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Joliet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Joliet,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at Kansas Speedway </w:t>
            </w:r>
            <w:r>
              <w:rPr>
                <w:rFonts w:ascii="Times New Roman;serif" w:hAnsi="Times New Roman;serif"/>
                <w:b w:val="false"/>
                <w:color w:val="000000"/>
                <w:sz w:val="9"/>
              </w:rPr>
              <w:t>(2)(8)</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Kansas City, 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Owned -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Hollywood Casino St. Louis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Maryland Heights,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AR PENN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502</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Prairie State Gaming</w:t>
            </w:r>
            <w:r>
              <w:rPr>
                <w:color w:val="000000"/>
              </w:rPr>
              <w:t xml:space="preserve"> </w:t>
            </w:r>
            <w:r>
              <w:rPr>
                <w:rFonts w:ascii="Times New Roman;serif" w:hAnsi="Times New Roman;serif"/>
                <w:b w:val="false"/>
                <w:color w:val="000000"/>
                <w:sz w:val="9"/>
              </w:rPr>
              <w:t>(5)</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Land-based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River City Casino </w:t>
            </w:r>
            <w:r>
              <w:rPr>
                <w:rFonts w:ascii="Times New Roman;serif" w:hAnsi="Times New Roman;serif"/>
                <w:b w:val="false"/>
                <w:color w:val="000000"/>
                <w:sz w:val="9"/>
              </w:rPr>
              <w:t>(2)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Pinnacle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Dockside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Other</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Freehold Raceway </w:t>
            </w:r>
            <w:r>
              <w:rPr>
                <w:rFonts w:ascii="Times New Roman;serif" w:hAnsi="Times New Roman;serif"/>
                <w:b w:val="false"/>
                <w:color w:val="000000"/>
                <w:sz w:val="9"/>
              </w:rPr>
              <w:t>(9)</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Freehold,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Owned -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Standardbred 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Retama Park Racetrack </w:t>
            </w:r>
            <w:r>
              <w:rPr>
                <w:rFonts w:ascii="Times New Roman;serif" w:hAnsi="Times New Roman;serif"/>
                <w:b w:val="false"/>
                <w:color w:val="000000"/>
                <w:sz w:val="9"/>
              </w:rPr>
              <w:t>(10)</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Selma,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 - Managed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Simulcasting/quarter horse racing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Sam Houston Race Park</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Houston,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Simulcasting/thoroughbred 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Sanford-Orlando Kennel Club</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Longwood,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Simulcasting/restaurant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Valley Race Park </w:t>
            </w:r>
            <w:r>
              <w:rPr>
                <w:rFonts w:ascii="Times New Roman;serif" w:hAnsi="Times New Roman;serif"/>
                <w:b w:val="false"/>
                <w:color w:val="000000"/>
                <w:sz w:val="9"/>
              </w:rPr>
              <w:t>(11)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Harlingen,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Greyhound racing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2,438,289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7,596</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(1)Excludes poker tables.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(2)Property offers a sportsbook for live sports betting.</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168 rooms at our hotel and event center located less than a mile from the gaming facility.</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(4)Upon termination of the Morgantown Lease, ownership of the constructed building and all tenant improvements will transfer from the Company to GLPI.</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(5)VGT route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284 rooms operated by a third-party and located on land leased by us and subleased to such third-party.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(7)The riverboat is owned by us and not subject to the AR PENN Master Lease.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(8)Pursuant to a joint venture with NASCAR Holdings LLC.</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(9)Pursuant to a joint venture with Greenwood Limited Jersey, Inc., a subsidiary of Greenwood Racing, Inc. Operations at Freehold Raceway ceased on December 28,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(10)Pursuant to a management contract with Retama Development Corporation.</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(11)In March 2020, Valley Race Park closed due to COVID-19 and remains non-operational.</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Northeast Segment</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Ameristar East Chicago </w:t>
      </w:r>
      <w:r>
        <w:rPr>
          <w:rFonts w:ascii="Times New Roman;serif" w:hAnsi="Times New Roman;serif"/>
          <w:b w:val="false"/>
          <w:color w:val="000000"/>
          <w:sz w:val="20"/>
        </w:rPr>
        <w:t>is located less than 25 miles from downtown Chicago, Illinois and offers guests a gaming and entertainment experience in the Chicago metropolitan area. In addition to gaming amenities, the property features a full-service hotel, a sportsbook for live sports betting, a fitness center, dining venues, and a lounge.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Hollywood Casino Bangor</w:t>
      </w:r>
      <w:r>
        <w:rPr>
          <w:color w:val="000000"/>
        </w:rPr>
        <w:t xml:space="preserve"> </w:t>
      </w:r>
      <w:r>
        <w:rPr>
          <w:rFonts w:ascii="Times New Roman;serif" w:hAnsi="Times New Roman;serif"/>
          <w:b w:val="false"/>
          <w:color w:val="000000"/>
          <w:sz w:val="20"/>
        </w:rPr>
        <w:t>is located less than five miles from the Bangor airport in Maine. The property features slot machines, table games, a hotel with 5,100 square feet of meeting and multipurpose space, and dining and entertainment options. Bangor Raceway, which is adjacent to the property, is located at historic Bass Park and includes a one-half mile standardbred racetrack and a 12,000 square foot grandstand capable of seating 3,500 patrons.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at Charles Town Races </w:t>
      </w:r>
      <w:r>
        <w:rPr>
          <w:rFonts w:ascii="Times New Roman;serif" w:hAnsi="Times New Roman;serif"/>
          <w:b w:val="false"/>
          <w:color w:val="000000"/>
          <w:sz w:val="20"/>
        </w:rPr>
        <w:t>is located within approximately an hour drive of the Baltimore, Maryland and Washington, D.C. markets. In addition to a hotel, slot machines, table games, and poker tables, the property includes a sportsbook for live sports betting, as well as a variety of dining options. The complex also features live thoroughbred racing at a three-quarters mile all-weather lighted thoroughbred racetrack with a 3,000-seat grandstand and simulcast wagering.</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Columbus </w:t>
      </w:r>
      <w:r>
        <w:rPr>
          <w:rFonts w:ascii="Times New Roman;serif" w:hAnsi="Times New Roman;serif"/>
          <w:b w:val="false"/>
          <w:color w:val="000000"/>
          <w:sz w:val="20"/>
        </w:rPr>
        <w:t>is a Hollywood-themed casino located in Columbus, Ohio. It features slot machines, table games, poker tables, a sportsbook for live sports betting, as well as multiple food and beverage outlets, and an entertainment lounge.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Hollywood Casino at Greektown</w:t>
      </w:r>
      <w:r>
        <w:rPr>
          <w:color w:val="000000"/>
        </w:rPr>
        <w:t xml:space="preserve"> </w:t>
      </w:r>
      <w:r>
        <w:rPr>
          <w:rFonts w:ascii="Times New Roman;serif" w:hAnsi="Times New Roman;serif"/>
          <w:b w:val="false"/>
          <w:color w:val="000000"/>
          <w:sz w:val="20"/>
        </w:rPr>
        <w:t>is located in the Greektown district of Detroit, Michigan, and is one of four casino hotels in the Detroit-Windsor area. In addition to slot machines, table games, and a sportsbook for live sports betting, the property features a 30-story hotel, several food and beverage options from casual to fine dining, as well as 10,000 square feet of convention and banquet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Lawrenceburg </w:t>
      </w:r>
      <w:r>
        <w:rPr>
          <w:rFonts w:ascii="Times New Roman;serif" w:hAnsi="Times New Roman;serif"/>
          <w:b w:val="false"/>
          <w:color w:val="000000"/>
          <w:sz w:val="20"/>
        </w:rPr>
        <w:t>is a Hollywood-themed casino riverboat located along the Ohio River in Lawrenceburg, Indiana, approximately 15 miles west of Cincinnati, Ohio. In addition to slot machines and table games, the riverboat features a sportsbook for live sports betting, as well as a variety of dining options. The hotel and event center, located within one mile from the casino, includes 18,000 square feet of multipurpose space and 19,500 square feet of ballroom and meeting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Morgantown </w:t>
      </w:r>
      <w:r>
        <w:rPr>
          <w:rFonts w:ascii="Times New Roman;serif" w:hAnsi="Times New Roman;serif"/>
          <w:b w:val="false"/>
          <w:color w:val="000000"/>
          <w:sz w:val="20"/>
        </w:rPr>
        <w:t xml:space="preserve">is located less than an hour drive west of Philadelphia, Pennsylvania. The property features an outdoor gaming and entertainment area, a sportsbook for live sports betting, slot machines, table games, and multiple food and beverage outlets. </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at PENN National Race Course </w:t>
      </w:r>
      <w:r>
        <w:rPr>
          <w:rFonts w:ascii="Times New Roman;serif" w:hAnsi="Times New Roman;serif"/>
          <w:b w:val="false"/>
          <w:color w:val="000000"/>
          <w:sz w:val="20"/>
        </w:rPr>
        <w:t>is located 15 miles northeast of Harrisburg, Pennsylvania. This gaming facility also includes a variety of dining and entertainment options, as well as a sportsbook for live sports betting and a viewing area for live racing. The property includes a one-mile all-weather lighted thoroughbred racetrack and a seven-eighths mile turf track.</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Perryville </w:t>
      </w:r>
      <w:r>
        <w:rPr>
          <w:rFonts w:ascii="Times New Roman;serif" w:hAnsi="Times New Roman;serif"/>
          <w:b w:val="false"/>
          <w:color w:val="000000"/>
          <w:sz w:val="20"/>
        </w:rPr>
        <w:t>is a Hollywood-themed casino located near the Susquehanna River in Perryville, Maryland, approximately 45 miles east of Baltimore, Maryland. It features slot machines, table games, poker tables, and a sportsbook for live sports betting, as well as a variety of dining options.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at The Meadows </w:t>
      </w:r>
      <w:r>
        <w:rPr>
          <w:rFonts w:ascii="Times New Roman;serif" w:hAnsi="Times New Roman;serif"/>
          <w:b w:val="false"/>
          <w:color w:val="000000"/>
          <w:sz w:val="20"/>
        </w:rPr>
        <w:t>is located in Washington, Pennsylvania, approximately 25 miles south of Pittsburgh, Pennsylvania. In addition to gaming amenities, the property offers a sportsbook for live sports betting, several dining options, as well as an event and banquet center, a simulcast betting parlor, a five-eighths mile harness racetrack and a bowling alley.</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Toledo </w:t>
      </w:r>
      <w:r>
        <w:rPr>
          <w:rFonts w:ascii="Times New Roman;serif" w:hAnsi="Times New Roman;serif"/>
          <w:b w:val="false"/>
          <w:color w:val="000000"/>
          <w:sz w:val="20"/>
        </w:rPr>
        <w:t xml:space="preserve">is a Hollywood-themed casino, located on the bank of the Maumee River in Toledo, Ohio. The property features slot machines, table games, poker tables, and a sportsbook for live sports betting, as well as multiple food and beverage outlets and an entertainment lounge. </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York </w:t>
      </w:r>
      <w:r>
        <w:rPr>
          <w:rFonts w:ascii="Times New Roman;serif" w:hAnsi="Times New Roman;serif"/>
          <w:b w:val="false"/>
          <w:color w:val="000000"/>
          <w:sz w:val="20"/>
        </w:rPr>
        <w:t>is a casino located within the York Galleria Mall, approximately an hour drive north of Baltimore, Maryland. It features slot machines, table games, and a sportsbook for live sports betting, as well as casual dining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Gaming at Dayton Raceway </w:t>
      </w:r>
      <w:r>
        <w:rPr>
          <w:rFonts w:ascii="Times New Roman;serif" w:hAnsi="Times New Roman;serif"/>
          <w:b w:val="false"/>
          <w:color w:val="000000"/>
          <w:sz w:val="20"/>
        </w:rPr>
        <w:t>is a Hollywood-themed casino and raceway located in Dayton, Ohio. It features video lottery terminals, a five-eighths mile standardbred racetrack, a sportsbook for live sports betting, as well as various restaurants and bars, amongst other amenities.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Gaming at Mahoning Valley Race Course </w:t>
      </w:r>
      <w:r>
        <w:rPr>
          <w:rFonts w:ascii="Times New Roman;serif" w:hAnsi="Times New Roman;serif"/>
          <w:b w:val="false"/>
          <w:color w:val="000000"/>
          <w:sz w:val="20"/>
        </w:rPr>
        <w:t>is a Hollywood-themed casino and raceway located in Youngstown, Ohio featuring video lottery terminals and a one-mile thoroughbred racetrack. The property also includes a sportsbook for live sports betting, various restaurants, and bars amongst other amenities.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Marquee by PENN </w:t>
      </w:r>
      <w:r>
        <w:rPr>
          <w:rFonts w:ascii="Times New Roman;serif" w:hAnsi="Times New Roman;serif"/>
          <w:b w:val="false"/>
          <w:color w:val="000000"/>
          <w:sz w:val="20"/>
        </w:rPr>
        <w:t>is our licensed VGT route operator with a network of 34 truck stop establishments in Pennsylvania.</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Plainridge Park Casino </w:t>
      </w:r>
      <w:r>
        <w:rPr>
          <w:rFonts w:ascii="Times New Roman;serif" w:hAnsi="Times New Roman;serif"/>
          <w:b w:val="false"/>
          <w:color w:val="000000"/>
          <w:sz w:val="20"/>
        </w:rPr>
        <w:t>is located 20 miles southwest of the Boston beltway just off interstate 95 in Plainville, Massachusetts. In addition to gaming offerings and a sportsbook for live sports betting, Plainridge Park Casino features various restaurants and bars along with a five-eighths mile live harness racing facility with a two-story clubhouse for simulcast operations, special events, and live racing viewing.</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South Segment</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1</w:t>
      </w:r>
      <w:r>
        <w:rPr>
          <w:rFonts w:ascii="Times New Roman;serif" w:hAnsi="Times New Roman;serif"/>
          <w:b w:val="false"/>
          <w:i/>
          <w:color w:val="000000"/>
          <w:sz w:val="16"/>
        </w:rPr>
        <w:t>st</w:t>
      </w:r>
      <w:r>
        <w:rPr>
          <w:color w:val="000000"/>
        </w:rPr>
        <w:t xml:space="preserve"> </w:t>
      </w:r>
      <w:r>
        <w:rPr>
          <w:rFonts w:ascii="Times New Roman;serif" w:hAnsi="Times New Roman;serif"/>
          <w:b w:val="false"/>
          <w:i/>
          <w:color w:val="000000"/>
          <w:sz w:val="20"/>
        </w:rPr>
        <w:t>Jackpot Casino</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the closest Tunica-area casino to downtown Memphis, Tennessee. It features slot machines, table games, a café, a sportsbook for live betting, and a live entertainment venue.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Ameristar Vicksburg, </w:t>
      </w:r>
      <w:r>
        <w:rPr>
          <w:rFonts w:ascii="Times New Roman;serif" w:hAnsi="Times New Roman;serif"/>
          <w:b w:val="false"/>
          <w:color w:val="000000"/>
          <w:sz w:val="20"/>
        </w:rPr>
        <w:t>which is the largest dockside casino in central Mississippi, is located along the Mississippi River approximately 45 miles west of Mississippi’s largest city, Jackson. In addition to gaming amenities, the property features a hotel, multiple dining and bar facilities, 1,800 square feet of meeting and event space, a sportsbook for live sports betting, and an RV park.</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Boomtown Biloxi, </w:t>
      </w:r>
      <w:r>
        <w:rPr>
          <w:rFonts w:ascii="Times New Roman;serif" w:hAnsi="Times New Roman;serif"/>
          <w:b w:val="false"/>
          <w:color w:val="000000"/>
          <w:sz w:val="20"/>
        </w:rPr>
        <w:t>located in Biloxi Mississippi, offers slot machines, table games, poker tables, and a sportsbook for live sports betting, as well as two distinct dining options. The property also includes a recreational vehicle park.</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Boomtown Bossier City </w:t>
      </w:r>
      <w:r>
        <w:rPr>
          <w:rFonts w:ascii="Times New Roman;serif" w:hAnsi="Times New Roman;serif"/>
          <w:b w:val="false"/>
          <w:color w:val="000000"/>
          <w:sz w:val="20"/>
        </w:rPr>
        <w:t>features a hotel adjoining a dockside riverboat casino located less than one mile from the Louisiana Boardwalk. The property offers a sportsbook for live sports betting, a variety of dining options, and 1,500 square feet of meeting and conference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Boomtown New Orleans </w:t>
      </w:r>
      <w:r>
        <w:rPr>
          <w:rFonts w:ascii="Times New Roman;serif" w:hAnsi="Times New Roman;serif"/>
          <w:b w:val="false"/>
          <w:color w:val="000000"/>
          <w:sz w:val="20"/>
        </w:rPr>
        <w:t>is located in the West Bank area across the Mississippi River, approximately 15 minutes from the French Quarter of New Orleans, Louisiana. In addition to gaming amenities and a sportsbook for live sports betting, the property also features a five-story hotel, several restaurants, and over 14,000 square feet of meeting and conference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Gulf Coast </w:t>
      </w:r>
      <w:r>
        <w:rPr>
          <w:rFonts w:ascii="Times New Roman;serif" w:hAnsi="Times New Roman;serif"/>
          <w:b w:val="false"/>
          <w:color w:val="000000"/>
          <w:sz w:val="20"/>
        </w:rPr>
        <w:t>is located in Bay St. Louis, Mississippi and features slot machines, table games, poker tables, and a sportsbook for live sports betting. The property also features a golf course, various dining options, an RV park, and a marina amongst other amenities. The waterfront hotel includes a 10,000 square foot ballroom and six separate meeting rooms offering more than 13,000 square feet of meeting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Hollywood Casino Tunica</w:t>
      </w:r>
      <w:r>
        <w:rPr>
          <w:color w:val="000000"/>
        </w:rPr>
        <w:t xml:space="preserve"> </w:t>
      </w:r>
      <w:r>
        <w:rPr>
          <w:rFonts w:ascii="Times New Roman;serif" w:hAnsi="Times New Roman;serif"/>
          <w:b w:val="false"/>
          <w:color w:val="000000"/>
          <w:sz w:val="20"/>
        </w:rPr>
        <w:t>is a Hollywood-themed casino located less than 10 miles from Tunica County River Park. In addition to gaming offerings, it features a sportsbook for live sports betting, a hotel, a 123-space recreational vehicle park, various dining and bar options, and banquet and meeting facilities.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L’Auberge Baton Rouge </w:t>
      </w:r>
      <w:r>
        <w:rPr>
          <w:rFonts w:ascii="Times New Roman;serif" w:hAnsi="Times New Roman;serif"/>
          <w:b w:val="false"/>
          <w:color w:val="000000"/>
          <w:sz w:val="20"/>
        </w:rPr>
        <w:t>is located approximately ten miles southeast of downtown Baton Rouge, Louisiana. The property features a 12-story hotel, slots, table games, poker, a sportsbook for live sports betting, a variety of dining choices, and 13,000 square feet of meeting and event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L’Auberge Lake Charles</w:t>
      </w:r>
      <w:r>
        <w:rPr>
          <w:color w:val="000000"/>
        </w:rPr>
        <w:t xml:space="preserve"> </w:t>
      </w:r>
      <w:r>
        <w:rPr>
          <w:rFonts w:ascii="Times New Roman;serif" w:hAnsi="Times New Roman;serif"/>
          <w:b w:val="false"/>
          <w:color w:val="000000"/>
          <w:sz w:val="20"/>
        </w:rPr>
        <w:t>offers one of the closest full-scale casino hotel facilities to Houston, Texas, as well as to the Austin, Texas and San Antonio, Texas metropolitan areas. The location is approximately 140 miles from Houston and approximately 300 miles and 335 miles from Austin and San Antonio, respectively. In addition to gaming amenities and a sportsbook for live sports betting, the property features several dining outlets, a golf course, a full-service spa, and more than 26,000 square feet of meeting and event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Margaritaville Resort Casino</w:t>
      </w:r>
      <w:r>
        <w:rPr>
          <w:color w:val="000000"/>
        </w:rPr>
        <w:t xml:space="preserve"> </w:t>
      </w:r>
      <w:r>
        <w:rPr>
          <w:rFonts w:ascii="Times New Roman;serif" w:hAnsi="Times New Roman;serif"/>
          <w:b w:val="false"/>
          <w:color w:val="000000"/>
          <w:sz w:val="20"/>
        </w:rPr>
        <w:t>is one of the premier gaming, lodging, dining, and entertainment experiences in Northern Louisiana. The property provides an island-style theme and includes gaming amenities, a sportsbook for live sports betting, a 15,000 square foot 1,000-seat theater, and 9,500 square feet of meeting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West Segment</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Ameristar Black Hawk </w:t>
      </w:r>
      <w:r>
        <w:rPr>
          <w:rFonts w:ascii="Times New Roman;serif" w:hAnsi="Times New Roman;serif"/>
          <w:b w:val="false"/>
          <w:color w:val="000000"/>
          <w:sz w:val="20"/>
        </w:rPr>
        <w:t>is located in the center of the Black Hawk gaming district, approximately 40 miles west of Denver, Colorado. The resort features slot machines, table games, poker tables, and a sportsbook for live sports betting. In addition to gaming amenities, the resort features a hotel, a full-service day spa, several dining outlets, a live entertainment bar, and 15,000 square feet of meeting and event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Cactus Petes and Horseshu </w:t>
      </w:r>
      <w:r>
        <w:rPr>
          <w:rFonts w:ascii="Times New Roman;serif" w:hAnsi="Times New Roman;serif"/>
          <w:b w:val="false"/>
          <w:color w:val="000000"/>
          <w:sz w:val="20"/>
        </w:rPr>
        <w:t>(collectively, “the Jackpot Properties”) are located just south of the Idaho border in Jackpot, Nevada. The Jackpot Properties collectively feature two hotels, several dining options, a 4,000 seat amphitheater, a showroom, a live entertainment lounge, a sportsbook for live sports betting, and meeting and event facilities.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M Resort Spa Casino</w:t>
      </w:r>
      <w:r>
        <w:rPr>
          <w:rFonts w:ascii="Times New Roman;serif" w:hAnsi="Times New Roman;serif"/>
          <w:b w:val="false"/>
          <w:color w:val="000000"/>
          <w:sz w:val="20"/>
        </w:rPr>
        <w:t>, located approximately ten miles from the Las Vegas strip in Henderson, Nevada, is situated at the southeast corner of Las Vegas Boulevard and St. Rose Parkway. The resort features slot machines, table games, and a sportsbook for live sports betting, as well as a hotel and a variety of dining and bar options. M Resort Spa Casino opened a second hotel tower on December 1, 2025, which added 375 rooms to the property, bringing its total to 765 rooms and suites. The property also features more than 85,000 square feet of meeting and conference space, a spa and fitness center, and a 100,000 square foot event center.</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Zia Park Casino</w:t>
      </w:r>
      <w:r>
        <w:rPr>
          <w:color w:val="000000"/>
        </w:rPr>
        <w:t xml:space="preserve"> </w:t>
      </w:r>
      <w:r>
        <w:rPr>
          <w:rFonts w:ascii="Times New Roman;serif" w:hAnsi="Times New Roman;serif"/>
          <w:b w:val="false"/>
          <w:color w:val="000000"/>
          <w:sz w:val="20"/>
        </w:rPr>
        <w:t>is located in Hobbs, New Mexico, and features slot machines, a hotel, restaurants, a one-mile quarter horse/thoroughbred racetrack with live racing from September to December, and a year-round simulcast parlor.</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Midwest Segment</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Ameristar Council Bluffs </w:t>
      </w:r>
      <w:r>
        <w:rPr>
          <w:rFonts w:ascii="Times New Roman;serif" w:hAnsi="Times New Roman;serif"/>
          <w:b w:val="false"/>
          <w:color w:val="000000"/>
          <w:sz w:val="20"/>
        </w:rPr>
        <w:t>is located across the Missouri River from Omaha, Nebraska and includes the largest riverboat in Iowa. In addition to gaming amenities, the property also features a hotel, a fitness center, several dining facilities, a sports bar featuring a sportsbook with live sports betting, and 5,000 square feet of convention and meeting space.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Argosy Casino Alton </w:t>
      </w:r>
      <w:r>
        <w:rPr>
          <w:rFonts w:ascii="Times New Roman;serif" w:hAnsi="Times New Roman;serif"/>
          <w:b w:val="false"/>
          <w:color w:val="000000"/>
          <w:sz w:val="20"/>
        </w:rPr>
        <w:t>is located on the Mississippi River in Alton, Illinois, approximately 20 miles northeast of downtown St. Louis, Missouri. Argosy Casino Alton is a three-deck riverboat featuring slot machines, table games, and a sportsbook for live betting. Argosy Casino Alton includes an entertainment pavilion and features a deli, a sportsbook viewing lounge and a 475-seat main showroom.</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Argosy Casino Riverside </w:t>
      </w:r>
      <w:r>
        <w:rPr>
          <w:rFonts w:ascii="Times New Roman;serif" w:hAnsi="Times New Roman;serif"/>
          <w:b w:val="false"/>
          <w:color w:val="000000"/>
          <w:sz w:val="20"/>
        </w:rPr>
        <w:t>is located on the Missouri River, approximately five miles from downtown Kansas City. In addition to gaming amenities and a sportsbook for live betting, this Mediterranean-themed property features a nine-story hotel, a spa, an entertainment facility featuring various food and beverage areas, a VIP lounge and a sports/entertainment lounge, and 19,000 square feet of banquet/conference facilities.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Hollywood Casino Aurora</w:t>
      </w:r>
      <w:r>
        <w:rPr>
          <w:color w:val="000000"/>
        </w:rPr>
        <w:t xml:space="preserve"> </w:t>
      </w:r>
      <w:r>
        <w:rPr>
          <w:rFonts w:ascii="Times New Roman;serif" w:hAnsi="Times New Roman;serif"/>
          <w:b w:val="false"/>
          <w:color w:val="000000"/>
          <w:sz w:val="20"/>
        </w:rPr>
        <w:t>is located in Aurora, Illinois, the second largest city in Illinois, approximately 35 miles west of Chicago. This single-level dockside casino offers guests gaming amenities, including a poker room and a sportsbook for live sports betting, and features multiple dining and bar options.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Hollywood Casino Joliet</w:t>
      </w:r>
      <w:r>
        <w:rPr>
          <w:color w:val="000000"/>
        </w:rPr>
        <w:t xml:space="preserve"> </w:t>
      </w:r>
      <w:r>
        <w:rPr>
          <w:rFonts w:ascii="Times New Roman;serif" w:hAnsi="Times New Roman;serif"/>
          <w:b w:val="false"/>
          <w:color w:val="000000"/>
          <w:sz w:val="20"/>
        </w:rPr>
        <w:t>is located in Joliet, Illinois, approximately 40 miles southwest of Chicago. The property relocated its riverboat casino operations to a new, state-of-the-art land-based facility which opened on August 11, 2025. The facility features approximately 1,000 slots and 43 live table games, including high-limit slots and table games, a baccarat room, and a sportsbook for live sports betting. Its unique bars and restaurants include Sorellina by Giada De Laurentiis and Boulevard Food &amp; Drink Hall. Additional features of the new property include an approximately 10,000 square foot, all-ages event center with meeting areas.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Hollywood Casino at Kansas Speedway</w:t>
      </w:r>
      <w:r>
        <w:rPr>
          <w:rFonts w:ascii="Times New Roman;serif" w:hAnsi="Times New Roman;serif"/>
          <w:b w:val="false"/>
          <w:color w:val="000000"/>
          <w:sz w:val="20"/>
        </w:rPr>
        <w:t>, our 50% joint venture with NASCAR, is located in Kansas City, Kansas. It features slot machines, table games, poker tables, a sportsbook for live sports betting, and offers a variety of dining and entertainment facilities and a meeting room.</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Hollywood Casino St. Louis </w:t>
      </w:r>
      <w:r>
        <w:rPr>
          <w:rFonts w:ascii="Times New Roman;serif" w:hAnsi="Times New Roman;serif"/>
          <w:b w:val="false"/>
          <w:color w:val="000000"/>
          <w:sz w:val="20"/>
        </w:rPr>
        <w:t>is located adjacent to the Missouri River directly off I-70 and approximately 22 miles northwest of downtown St. Louis, Missouri. The facility features slot machines, table games, poker tables, a hotel, a sportsbook for live sports betting, and a variety of dining and entertainment venues.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Prairie State Gaming </w:t>
      </w:r>
      <w:r>
        <w:rPr>
          <w:rFonts w:ascii="Times New Roman;serif" w:hAnsi="Times New Roman;serif"/>
          <w:b w:val="false"/>
          <w:color w:val="000000"/>
          <w:sz w:val="20"/>
        </w:rPr>
        <w:t>is our licensed VGT route operator in Illinois across a network of over 410 bar and/or retail gaming establishments in seven distinct geographic areas throughout Illinois.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River City Casino </w:t>
      </w:r>
      <w:r>
        <w:rPr>
          <w:rFonts w:ascii="Times New Roman;serif" w:hAnsi="Times New Roman;serif"/>
          <w:b w:val="false"/>
          <w:color w:val="000000"/>
          <w:sz w:val="20"/>
        </w:rPr>
        <w:t>is located in the St. Louis, Missouri metropolitan area, just south of the confluence of the Mississippi River and the River des Peres in the south St. Louis community of Lemay, Missouri. River City Casino features a hotel, multiple dining outlets, an entertainment lounge, a sportsbook for live sports betting, and over 10,000 square feet of conference 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Interactive Operations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PENN Interactive</w:t>
      </w:r>
      <w:r>
        <w:rPr>
          <w:color w:val="000000"/>
        </w:rPr>
        <w:t xml:space="preserve"> </w:t>
      </w:r>
      <w:r>
        <w:rPr>
          <w:rFonts w:ascii="Times New Roman;serif" w:hAnsi="Times New Roman;serif"/>
          <w:b w:val="false"/>
          <w:color w:val="000000"/>
          <w:sz w:val="20"/>
        </w:rPr>
        <w:t xml:space="preserve">operates our online gaming portfolio which includes: (i) theScore Bet, an online sportsbook operating in select U.S. jurisdictions and Ontario, Canada; (ii) theScore Casino, a stand-alone iCasino website and app operating in Ontario, Canada; (iii) Hollywood Casino, an iCasino operating in select U.S. jurisdictions, including within the theScore Bet website and app and stand-alone Hollywood iCasino website and app; and (iv) PENN Game Studios, our in-house iCasino and social gaming content studio.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PENN Interactive also operates our digital sports media business, theScore Media and Gaming, Inc. (“theScore”). As of December 31, 2025, PENN Interactive operates online sportsbooks in 22 jurisdictions and iCasino in five jurisdictions throughout the U.S. and Canada.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PENN Interactive’s online gaming business included Barstool Sportsbook &amp; Casino (“Barstool Sportsbook”), an online sportsbook and iCasino. In 2023, the Barstool Sportsbook brand was discontinued and PENN Interactive re-launched its U.S. online sportsbook product as ESPN BET and its U.S. iCasino product as Hollywood Casino. </w:t>
      </w:r>
    </w:p>
    <w:p>
      <w:pPr>
        <w:pStyle w:val="TextBody"/>
        <w:bidi w:val="0"/>
        <w:spacing w:lineRule="auto" w:line="288" w:before="0" w:after="200"/>
        <w:ind w:left="0" w:right="0" w:firstLine="360"/>
        <w:jc w:val="left"/>
        <w:rPr/>
      </w:pPr>
      <w:r>
        <w:rPr>
          <w:rFonts w:ascii="Times New Roman;serif" w:hAnsi="Times New Roman;serif"/>
          <w:b w:val="false"/>
          <w:color w:val="000000"/>
          <w:sz w:val="20"/>
        </w:rPr>
        <w:t>PENN’s exclusive right to use the ESPN BET trademark for its OSB offerings in the U.S. ended on December 1, 2025. As a result, we have realigned our digital focus to leverage the strength of our U.S. iCasino and Canadian operations, while continuing to use OSB to drive both the acquisition of customers with significant lifetime value and unique cross-sell opportunities across PENN’s retail and digital assets. On December 1, 2025, we rebranded our OSB offering in the U.S. to theScore Bet. We have operated theScore Bet brand in Ontario since 2022, and our OSB product in both the U.S. and Canada now leverages connectivity with the theScore media app, which has approximately 4 million monthly active users across North America.</w:t>
      </w:r>
      <w:r>
        <w:rPr>
          <w:color w:val="000000"/>
        </w:rPr>
        <w:t xml:space="preserv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PENN Interactive supports operations for retail sportsbooks across the Company’s portfolio of casinos, including, as of December 31, 2025, 33 retail sportsbooks located at the Company’s properties in 14 states. In 2023, PENN Interactive also began providing retail sportsbook management services to select casino operators outside our Company’s portfolio.</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through PENN’s portfolio of properties, PENN Interactive has entered into multi-year agreements with sports betting operators for OSB and iCasino market access in six states as of December 31, 2025.</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theScore</w:t>
      </w:r>
      <w:r>
        <w:rPr>
          <w:color w:val="000000"/>
        </w:rPr>
        <w:t xml:space="preserve"> </w:t>
      </w:r>
      <w:r>
        <w:rPr>
          <w:rFonts w:ascii="Times New Roman;serif" w:hAnsi="Times New Roman;serif"/>
          <w:b w:val="false"/>
          <w:color w:val="000000"/>
          <w:sz w:val="20"/>
        </w:rPr>
        <w:t>is a sports media company that provides comprehensive coverage of sports through its various platforms including theScore media app, theScore Bet Sportsbook and Casino app, and theScore Casino app. theScore media app delivers users highly-personalized live scores, news, stats, and betting information from their favorite teams, leagues, and players. theScore Bet Sportsbook and Casino app delivers an immersive and holistic mobile sports betting and iCasino gaming experience, leveraging theScore’s proprietary player account management and risk and trading platforms. Additionally, theScore Casino app offers a variety of online slots, table games and live dealer content. theScore’s technology, resources, and audience reach is used to accelerate our media and sports betting strategy across North America and is the foundation for online sportsbook and iCasino products, such as theScore Bet.</w:t>
      </w:r>
    </w:p>
    <w:p>
      <w:pPr>
        <w:pStyle w:val="TextBody"/>
        <w:bidi w:val="0"/>
        <w:spacing w:lineRule="auto" w:line="288" w:before="0" w:after="200"/>
        <w:ind w:left="0" w:right="0" w:firstLine="360"/>
        <w:jc w:val="left"/>
        <w:rPr/>
      </w:pPr>
      <w:r>
        <w:rPr>
          <w:rFonts w:ascii="Times New Roman;serif" w:hAnsi="Times New Roman;serif"/>
          <w:b w:val="false"/>
          <w:i/>
          <w:color w:val="000000"/>
          <w:sz w:val="20"/>
          <w:shd w:fill="FFFFFF" w:val="clear"/>
        </w:rPr>
        <w:t>Barstool</w:t>
      </w:r>
      <w:r>
        <w:rPr>
          <w:rFonts w:ascii="Times New Roman;serif" w:hAnsi="Times New Roman;serif"/>
          <w:b w:val="false"/>
          <w:color w:val="000000"/>
          <w:sz w:val="20"/>
          <w:shd w:fill="FFFFFF" w:val="clear"/>
        </w:rPr>
        <w:t xml:space="preserve">. PENN Entertainment, Inc., through a wholly-owned subsidiary, held a 36% equity interest in Barstool. Under this relationship, Barstool exclusively promoted the Company’s sports betting and iCasino products, including the Barstool Sportsbook website and app, as well as our retail gaming and racing properties, to its national audience and granted us the sole right to utilize the Barstool brand for our online and retail sports betting and iCasino products. On February 17, 2023, we completed the acquisition of all of the outstanding shares of common stock of Barstool not already owned by us for cash consideration of approximately </w:t>
      </w:r>
      <w:r>
        <w:rPr>
          <w:rFonts w:ascii="Times New Roman;serif" w:hAnsi="Times New Roman;serif"/>
          <w:b w:val="false"/>
          <w:color w:val="000000"/>
          <w:sz w:val="20"/>
        </w:rPr>
        <w:t>$315.3 million and the issuance of</w:t>
      </w:r>
      <w:r>
        <w:rPr>
          <w:color w:val="000000"/>
          <w:shd w:fill="FFFFFF" w:val="clear"/>
        </w:rPr>
        <w:t xml:space="preserve"> </w:t>
      </w:r>
      <w:r>
        <w:rPr>
          <w:rFonts w:ascii="Times New Roman;serif" w:hAnsi="Times New Roman;serif"/>
          <w:b w:val="false"/>
          <w:color w:val="000000"/>
          <w:sz w:val="20"/>
        </w:rPr>
        <w:t>2,442,809</w:t>
      </w:r>
      <w:r>
        <w:rPr>
          <w:color w:val="000000"/>
          <w:shd w:fill="FFFFFF" w:val="clear"/>
        </w:rPr>
        <w:t xml:space="preserve"> </w:t>
      </w:r>
      <w:r>
        <w:rPr>
          <w:rFonts w:ascii="Times New Roman;serif" w:hAnsi="Times New Roman;serif"/>
          <w:b w:val="false"/>
          <w:color w:val="000000"/>
          <w:sz w:val="20"/>
          <w:shd w:fill="FFFFFF" w:val="clear"/>
        </w:rPr>
        <w:t>shares of our common stock to certain former stockholders of Barstool. Upon the completion of the Barstool Acquisition, Barstool became an indirect wholly owned subsidiary of PENN.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PENN’s decision to rebrand our OSB business from Barstool Sportsbook to ESPN BET, we entered into a stock purchase agreement with David Portnoy on August 8, 2023 (the “Barstool SPA”). Pursuant to the Barstool SPA, PENN sold 100% of the outstanding shares of Barstool to David Portnoy in exchange for nominal cash consideration and certain non-compete and other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described above, the following table summarizes PENN Interactive’s operations by jurisdiction as of December 31, 2025:</w:t>
      </w:r>
    </w:p>
    <w:tbl>
      <w:tblPr>
        <w:tblW w:w="10205" w:type="dxa"/>
        <w:jc w:val="left"/>
        <w:tblInd w:w="0" w:type="dxa"/>
        <w:tblLayout w:type="fixed"/>
        <w:tblCellMar>
          <w:top w:w="28" w:type="dxa"/>
          <w:left w:w="28" w:type="dxa"/>
          <w:bottom w:w="28" w:type="dxa"/>
          <w:right w:w="28" w:type="dxa"/>
        </w:tblCellMar>
      </w:tblPr>
      <w:tblGrid>
        <w:gridCol w:w="529"/>
        <w:gridCol w:w="464"/>
        <w:gridCol w:w="469"/>
        <w:gridCol w:w="109"/>
        <w:gridCol w:w="109"/>
        <w:gridCol w:w="109"/>
        <w:gridCol w:w="511"/>
        <w:gridCol w:w="511"/>
        <w:gridCol w:w="513"/>
        <w:gridCol w:w="109"/>
        <w:gridCol w:w="109"/>
        <w:gridCol w:w="109"/>
        <w:gridCol w:w="250"/>
        <w:gridCol w:w="250"/>
        <w:gridCol w:w="251"/>
        <w:gridCol w:w="109"/>
        <w:gridCol w:w="109"/>
        <w:gridCol w:w="109"/>
        <w:gridCol w:w="1003"/>
        <w:gridCol w:w="1003"/>
        <w:gridCol w:w="1005"/>
        <w:gridCol w:w="109"/>
        <w:gridCol w:w="109"/>
        <w:gridCol w:w="109"/>
        <w:gridCol w:w="623"/>
        <w:gridCol w:w="623"/>
        <w:gridCol w:w="892"/>
      </w:tblGrid>
      <w:tr>
        <w:trPr/>
        <w:tc>
          <w:tcPr>
            <w:tcW w:w="52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Online Sportsbook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iCasino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Management of PENN Retail Sportsbook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 Access Partnership</w:t>
            </w:r>
          </w:p>
        </w:tc>
      </w:tr>
      <w:tr>
        <w:trPr/>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Freehold Raceway.</w:t>
      </w:r>
      <w:r>
        <w:rPr>
          <w:color w:val="000000"/>
        </w:rPr>
        <w:t xml:space="preserve"> </w:t>
      </w:r>
      <w:r>
        <w:rPr>
          <w:rFonts w:ascii="Times New Roman;serif" w:hAnsi="Times New Roman;serif"/>
          <w:b w:val="false"/>
          <w:color w:val="000000"/>
          <w:sz w:val="20"/>
        </w:rPr>
        <w:t xml:space="preserve">Through our joint venture with Greenwood, we previously owned 50% of a leased off-track wagering (“OTW”) facility in Toms River, New Jersey, and operated another OTW facility, which we constructed, in Gloucester Township, New Jersey. The OTW facility in Gloucester Township closed on December 15, 2024. Operations ceased at Freehold Raceway on December 28, 2024. The Freehold Raceway property was sold on June 10, 2025. We currently own 10 acres of land in Cherry Hill, New Jersey. </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Retama Park Racetrack.</w:t>
      </w:r>
      <w:r>
        <w:rPr>
          <w:color w:val="000000"/>
        </w:rPr>
        <w:t xml:space="preserve"> </w:t>
      </w:r>
      <w:r>
        <w:rPr>
          <w:rFonts w:ascii="Times New Roman;serif" w:hAnsi="Times New Roman;serif"/>
          <w:b w:val="false"/>
          <w:color w:val="000000"/>
          <w:sz w:val="20"/>
        </w:rPr>
        <w:t>We have a management contract with Retama Development Corporation, a local government corporation of the City of Selma, Texas, to manage the day-to-day operations of Retama Park Racetrack. In addition, we own 1.0% of the equity of Retama Nominal Holder, LLC, which holds a nominal interest in the racing license used to operate Retama Park Racetrack. Additionally, we own a 75.5% interest in Pinnacle Retama Partners, LLC, which owns the contingent gaming rights that may arise if gaming under the existing racing license becomes legal in Texas in the future.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Sam Houston Race Park and Valley Race Park.</w:t>
      </w:r>
      <w:r>
        <w:rPr>
          <w:color w:val="000000"/>
        </w:rPr>
        <w:t xml:space="preserve"> </w:t>
      </w:r>
      <w:r>
        <w:rPr>
          <w:rFonts w:ascii="Times New Roman;serif" w:hAnsi="Times New Roman;serif"/>
          <w:b w:val="false"/>
          <w:color w:val="000000"/>
          <w:sz w:val="20"/>
        </w:rPr>
        <w:t>Sam Houston Race Park, which is located 15 miles northwest from downtown Houston, Texas along Beltway 8, hosts thoroughbred racing and offers daily simulcast operations, as well as hosts various special events, private parties, and meetings throughout the year. Valley Race Park is a 91,000 square foot property that previously conducted greyhound racing and simulcasting. Valley Race Park has not been open since March 2020. We acquired the remaining 50% of these properties, as well as a license for a racetrack in Manor, Texas, just outside of Austin, on August 1, 2021.</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Sanford-Orlando Kennel Club. </w:t>
      </w:r>
      <w:r>
        <w:rPr>
          <w:rFonts w:ascii="Times New Roman;serif" w:hAnsi="Times New Roman;serif"/>
          <w:b w:val="false"/>
          <w:color w:val="000000"/>
          <w:sz w:val="20"/>
        </w:rPr>
        <w:t>The facility and parking lot area is owned by the Company and operates a restaurant and offers year-round simulcast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Triple Net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noted above, the majority of the real estate assets (i.e., land and buildings) used in our operations are subject to triple net master leases, the most significant of which are with GLPI, and include the AR PENN Master Lease, 2023 Master Lease, and Pinnacle Master Lease (as such terms are defined below and collectively referred to as the “Master Leases”).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in addition to the Master Leases, three individual gaming facilities used in our operations are subject to triple net leases (together with the Master Leases, the “Triple Net Leases”). Under our Triple Net Leases, in addition to lease payments for the real estate assets, the Company is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following summaries of the Master Leases</w:t>
      </w:r>
      <w:r>
        <w:rPr>
          <w:color w:val="000000"/>
        </w:rPr>
        <w:t xml:space="preserve"> </w:t>
      </w:r>
      <w:r>
        <w:rPr>
          <w:rFonts w:ascii="Times New Roman;serif" w:hAnsi="Times New Roman;serif"/>
          <w:b w:val="false"/>
          <w:color w:val="000000"/>
          <w:sz w:val="20"/>
        </w:rPr>
        <w:t>are qualified in their entirety by reference to either the AR PENN Master Lease, the 2023 Master Lease, or the Pinnacle Master Lease, as applicable, all of which are incorporated by reference in the exhibits to this Annual Report on Form 10-K.</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AR PENN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AR PENN Master Lease (as defined and discussed below), the Company leased real estate assets associated with 19 of the gaming facilities used in its operations via a triple net master lease with GLPI (the “PENN Master Lease”), which became effective November 1, 2013. The PENN Master Lease had an initial term of 15 years with four subsequent five-year renewal periods on the same terms and conditions, exercisable at the Company’s option.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On February 21, 2023, the Company and GLPI entered into an agreement to amend and restate the triple net master lease dated November 1, 2013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after which the initial rent in the AR PENN Master Lease was reset to $284.1 million, consisting of $208.2 million of building base rent, $43.0 million of land base rent, and $32.9 million of percentage rent (as such terms are defined in the AR PENN Master Lease). The AR PENN Master Lease remains subject to annual rent escalators and a percentage rent reset every five years.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periods of five years each on the same terms and conditions, exercisable at the Company’s option. The AR PENN Master Lease along with the 2023 Master Lease (as defined and discussed below) are cross-defaulted, cross-collateralized, and coterminous, and subject to a parent guarantee. S</w:t>
      </w:r>
      <w:r>
        <w:rPr>
          <w:rFonts w:ascii="Times New Roman;serif" w:hAnsi="Times New Roman;serif"/>
          <w:b w:val="false"/>
          <w:color w:val="000000"/>
          <w:sz w:val="20"/>
          <w:shd w:fill="FFFFFF" w:val="clear"/>
        </w:rPr>
        <w:t xml:space="preserve">ee </w:t>
      </w:r>
      <w:hyperlink w:anchor="ic1a494480e6146a1a6acab9187fe13be_181">
        <w:r>
          <w:rPr>
            <w:rStyle w:val="InternetLink"/>
            <w:rFonts w:ascii="Times New Roman;serif" w:hAnsi="Times New Roman;serif"/>
            <w:b w:val="false"/>
            <w:color w:val="0000FF"/>
            <w:sz w:val="20"/>
            <w:u w:val="single"/>
            <w:shd w:fill="FFFFFF" w:val="clear"/>
          </w:rPr>
          <w:t>Note 11, “Leases”</w:t>
        </w:r>
      </w:hyperlink>
      <w:r>
        <w:rPr>
          <w:color w:val="000000"/>
          <w:shd w:fill="FFFFFF" w:val="clear"/>
        </w:rPr>
        <w:t xml:space="preserve"> </w:t>
      </w:r>
      <w:r>
        <w:rPr>
          <w:rFonts w:ascii="Times New Roman;serif" w:hAnsi="Times New Roman;serif"/>
          <w:b w:val="false"/>
          <w:color w:val="000000"/>
          <w:sz w:val="20"/>
          <w:shd w:fill="FFFFFF" w:val="clear"/>
        </w:rPr>
        <w:t>in the notes to our Consolidated Financial Statements for further discussion.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2023 Master Lease</w:t>
      </w:r>
    </w:p>
    <w:p>
      <w:pPr>
        <w:pStyle w:val="TextBody"/>
        <w:bidi w:val="0"/>
        <w:spacing w:lineRule="auto" w:line="288" w:before="0" w:after="200"/>
        <w:ind w:left="0" w:right="0" w:firstLine="360"/>
        <w:jc w:val="left"/>
        <w:rPr/>
      </w:pPr>
      <w:r>
        <w:rPr>
          <w:rFonts w:ascii="Times New Roman;serif" w:hAnsi="Times New Roman;serif"/>
          <w:b w:val="false"/>
          <w:color w:val="000000"/>
          <w:sz w:val="20"/>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terminated the individual triple net leases associated with Meadows and Perryville. The 2023 Master Lease incurs a 1.5% fixed escalator on November 1 of each year, and is also subject to a one-time increase of $1.4 million effective November 1, 2027. S</w:t>
      </w:r>
      <w:r>
        <w:rPr>
          <w:rFonts w:ascii="Times New Roman;serif" w:hAnsi="Times New Roman;serif"/>
          <w:b w:val="false"/>
          <w:color w:val="000000"/>
          <w:sz w:val="20"/>
          <w:shd w:fill="FFFFFF" w:val="clear"/>
        </w:rPr>
        <w:t xml:space="preserve">ee </w:t>
      </w:r>
      <w:hyperlink w:anchor="ic1a494480e6146a1a6acab9187fe13be_181">
        <w:r>
          <w:rPr>
            <w:rStyle w:val="InternetLink"/>
            <w:rFonts w:ascii="Times New Roman;serif" w:hAnsi="Times New Roman;serif"/>
            <w:b w:val="false"/>
            <w:color w:val="0000FF"/>
            <w:sz w:val="20"/>
            <w:u w:val="single"/>
            <w:shd w:fill="FFFFFF" w:val="clear"/>
          </w:rPr>
          <w:t>Note 11, “Leases”</w:t>
        </w:r>
      </w:hyperlink>
      <w:r>
        <w:rPr>
          <w:color w:val="000000"/>
          <w:shd w:fill="FFFFFF" w:val="clear"/>
        </w:rPr>
        <w:t xml:space="preserve"> </w:t>
      </w:r>
      <w:r>
        <w:rPr>
          <w:rFonts w:ascii="Times New Roman;serif" w:hAnsi="Times New Roman;serif"/>
          <w:b w:val="false"/>
          <w:color w:val="000000"/>
          <w:sz w:val="20"/>
          <w:shd w:fill="FFFFFF" w:val="clear"/>
        </w:rPr>
        <w:t xml:space="preserve">in the notes to our Consolidated Financial Statements for further discussion.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Pinnacle Master Lease</w:t>
      </w:r>
    </w:p>
    <w:p>
      <w:pPr>
        <w:pStyle w:val="TextBody"/>
        <w:bidi w:val="0"/>
        <w:spacing w:lineRule="auto" w:line="288" w:before="0" w:after="200"/>
        <w:ind w:left="0" w:right="0" w:firstLine="360"/>
        <w:jc w:val="left"/>
        <w:rPr/>
      </w:pPr>
      <w:r>
        <w:rPr>
          <w:rFonts w:ascii="Times New Roman;serif" w:hAnsi="Times New Roman;serif"/>
          <w:b w:val="false"/>
          <w:color w:val="000000"/>
          <w:sz w:val="20"/>
        </w:rPr>
        <w:t>In connection with the acquisition of Pinnacle Entertainment, Inc. (“Pinnacle”),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S</w:t>
      </w:r>
      <w:r>
        <w:rPr>
          <w:rFonts w:ascii="Times New Roman;serif" w:hAnsi="Times New Roman;serif"/>
          <w:b w:val="false"/>
          <w:color w:val="000000"/>
          <w:sz w:val="20"/>
          <w:shd w:fill="FFFFFF" w:val="clear"/>
        </w:rPr>
        <w:t xml:space="preserve">ee </w:t>
      </w:r>
      <w:hyperlink w:anchor="ic1a494480e6146a1a6acab9187fe13be_181">
        <w:r>
          <w:rPr>
            <w:rStyle w:val="InternetLink"/>
            <w:rFonts w:ascii="Times New Roman;serif" w:hAnsi="Times New Roman;serif"/>
            <w:b w:val="false"/>
            <w:color w:val="0000FF"/>
            <w:sz w:val="20"/>
            <w:u w:val="single"/>
            <w:shd w:fill="FFFFFF" w:val="clear"/>
          </w:rPr>
          <w:t>Note 11, “Leases”</w:t>
        </w:r>
      </w:hyperlink>
      <w:r>
        <w:rPr>
          <w:color w:val="000000"/>
          <w:shd w:fill="FFFFFF" w:val="clear"/>
        </w:rPr>
        <w:t xml:space="preserve"> </w:t>
      </w:r>
      <w:r>
        <w:rPr>
          <w:rFonts w:ascii="Times New Roman;serif" w:hAnsi="Times New Roman;serif"/>
          <w:b w:val="false"/>
          <w:color w:val="000000"/>
          <w:sz w:val="20"/>
          <w:shd w:fill="FFFFFF" w:val="clear"/>
        </w:rPr>
        <w:t>in the notes to our Consolidated Financial Statements for further discussion.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Other triple net leases with REIT landlords</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Company has a triple net lease with GLPI for the land underlying the Hollywood Casino Morgantown property. Additionally, on December 4, 2025, the Company entered into a triple net master lease with VICI Properties, Inc. (NYSE: VICI) (“VICI”) which amended and restated the individual triple net leases for the real estate assets associated with the Margaritaville Resort Casino (“Margaritaville”) and Hollywood Casino at Greektown (“Greektown”) properties into a single combined lease. S</w:t>
      </w:r>
      <w:r>
        <w:rPr>
          <w:rFonts w:ascii="Times New Roman;serif" w:hAnsi="Times New Roman;serif"/>
          <w:b w:val="false"/>
          <w:color w:val="000000"/>
          <w:sz w:val="20"/>
          <w:shd w:fill="FFFFFF" w:val="clear"/>
        </w:rPr>
        <w:t xml:space="preserve">ee </w:t>
      </w:r>
      <w:hyperlink w:anchor="ic1a494480e6146a1a6acab9187fe13be_181">
        <w:r>
          <w:rPr>
            <w:rStyle w:val="InternetLink"/>
            <w:rFonts w:ascii="Times New Roman;serif" w:hAnsi="Times New Roman;serif"/>
            <w:b w:val="false"/>
            <w:color w:val="0000FF"/>
            <w:sz w:val="20"/>
            <w:u w:val="single"/>
            <w:shd w:fill="FFFFFF" w:val="clear"/>
          </w:rPr>
          <w:t>Note 11, “Leases”</w:t>
        </w:r>
      </w:hyperlink>
      <w:r>
        <w:rPr>
          <w:color w:val="000000"/>
          <w:shd w:fill="FFFFFF" w:val="clear"/>
        </w:rPr>
        <w:t xml:space="preserve"> </w:t>
      </w:r>
      <w:r>
        <w:rPr>
          <w:rFonts w:ascii="Times New Roman;serif" w:hAnsi="Times New Roman;serif"/>
          <w:b w:val="false"/>
          <w:color w:val="000000"/>
          <w:sz w:val="20"/>
          <w:shd w:fill="FFFFFF" w:val="clear"/>
        </w:rPr>
        <w:t xml:space="preserve">in the notes to our Consolidated Financial Statements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Trademarks</w:t>
      </w:r>
    </w:p>
    <w:p>
      <w:pPr>
        <w:pStyle w:val="TextBody"/>
        <w:bidi w:val="0"/>
        <w:spacing w:lineRule="auto" w:line="288" w:before="0" w:after="200"/>
        <w:ind w:left="0" w:right="0" w:firstLine="360"/>
        <w:jc w:val="left"/>
        <w:rPr/>
      </w:pPr>
      <w:r>
        <w:rPr>
          <w:rFonts w:ascii="Times New Roman;serif" w:hAnsi="Times New Roman;serif"/>
          <w:b w:val="false"/>
          <w:color w:val="000000"/>
          <w:sz w:val="20"/>
        </w:rPr>
        <w:t>We own a number of trademarks and service marks registered or pending registration with the U.S. Patent and Trademark Office (“USPTO”), the Canadian Intellectual Property Office (“CIPO”), and/or other intellectual property organizations in the European Union, the United Kingdom, and other countries around the world, including but not limited to, “Ameristar</w:t>
      </w:r>
      <w:r>
        <w:rPr>
          <w:rFonts w:ascii="Times New Roman;serif" w:hAnsi="Times New Roman;serif"/>
          <w:b w:val="false"/>
          <w:color w:val="000000"/>
          <w:sz w:val="13"/>
        </w:rPr>
        <w:t>®</w:t>
      </w:r>
      <w:r>
        <w:rPr>
          <w:rFonts w:ascii="Times New Roman;serif" w:hAnsi="Times New Roman;serif"/>
          <w:b w:val="false"/>
          <w:color w:val="000000"/>
          <w:sz w:val="20"/>
        </w:rPr>
        <w:t>,” “Argosy</w:t>
      </w:r>
      <w:r>
        <w:rPr>
          <w:rFonts w:ascii="Times New Roman;serif" w:hAnsi="Times New Roman;serif"/>
          <w:b w:val="false"/>
          <w:color w:val="000000"/>
          <w:sz w:val="13"/>
        </w:rPr>
        <w:t>®</w:t>
      </w:r>
      <w:r>
        <w:rPr>
          <w:rFonts w:ascii="Times New Roman;serif" w:hAnsi="Times New Roman;serif"/>
          <w:b w:val="false"/>
          <w:color w:val="000000"/>
          <w:sz w:val="20"/>
        </w:rPr>
        <w:t>,” “Boomtown</w:t>
      </w:r>
      <w:r>
        <w:rPr>
          <w:rFonts w:ascii="Times New Roman;serif" w:hAnsi="Times New Roman;serif"/>
          <w:b w:val="false"/>
          <w:color w:val="000000"/>
          <w:sz w:val="13"/>
        </w:rPr>
        <w:t>®</w:t>
      </w:r>
      <w:r>
        <w:rPr>
          <w:rFonts w:ascii="Times New Roman;serif" w:hAnsi="Times New Roman;serif"/>
          <w:b w:val="false"/>
          <w:color w:val="000000"/>
          <w:sz w:val="20"/>
        </w:rPr>
        <w:t>,” “Hollywood Casino</w:t>
      </w:r>
      <w:r>
        <w:rPr>
          <w:rFonts w:ascii="Times New Roman;serif" w:hAnsi="Times New Roman;serif"/>
          <w:b w:val="false"/>
          <w:color w:val="000000"/>
          <w:sz w:val="13"/>
        </w:rPr>
        <w:t>®</w:t>
      </w:r>
      <w:r>
        <w:rPr>
          <w:rFonts w:ascii="Times New Roman;serif" w:hAnsi="Times New Roman;serif"/>
          <w:b w:val="false"/>
          <w:color w:val="000000"/>
          <w:sz w:val="20"/>
        </w:rPr>
        <w:t>,” “Hollywood Gaming</w:t>
      </w:r>
      <w:r>
        <w:rPr>
          <w:rFonts w:ascii="Times New Roman;serif" w:hAnsi="Times New Roman;serif"/>
          <w:b w:val="false"/>
          <w:color w:val="000000"/>
          <w:sz w:val="13"/>
        </w:rPr>
        <w:t>®</w:t>
      </w:r>
      <w:r>
        <w:rPr>
          <w:rFonts w:ascii="Times New Roman;serif" w:hAnsi="Times New Roman;serif"/>
          <w:b w:val="false"/>
          <w:color w:val="000000"/>
          <w:sz w:val="20"/>
        </w:rPr>
        <w:t>,” “L’Auberge</w:t>
      </w:r>
      <w:r>
        <w:rPr>
          <w:rFonts w:ascii="Times New Roman;serif" w:hAnsi="Times New Roman;serif"/>
          <w:b w:val="false"/>
          <w:color w:val="000000"/>
          <w:sz w:val="13"/>
        </w:rPr>
        <w:t>®</w:t>
      </w:r>
      <w:r>
        <w:rPr>
          <w:rFonts w:ascii="Times New Roman;serif" w:hAnsi="Times New Roman;serif"/>
          <w:b w:val="false"/>
          <w:color w:val="000000"/>
          <w:sz w:val="20"/>
        </w:rPr>
        <w:t>,” “M Resort</w:t>
      </w:r>
      <w:r>
        <w:rPr>
          <w:rFonts w:ascii="Times New Roman;serif" w:hAnsi="Times New Roman;serif"/>
          <w:b w:val="false"/>
          <w:color w:val="000000"/>
          <w:sz w:val="13"/>
        </w:rPr>
        <w:t>®</w:t>
      </w:r>
      <w:r>
        <w:rPr>
          <w:rFonts w:ascii="Times New Roman;serif" w:hAnsi="Times New Roman;serif"/>
          <w:b w:val="false"/>
          <w:color w:val="000000"/>
          <w:sz w:val="20"/>
        </w:rPr>
        <w:t>,” “PENN Entertainment</w:t>
      </w:r>
      <w:r>
        <w:rPr>
          <w:rFonts w:ascii="Times New Roman;serif" w:hAnsi="Times New Roman;serif"/>
          <w:b w:val="false"/>
          <w:color w:val="000000"/>
          <w:sz w:val="13"/>
        </w:rPr>
        <w:t>®</w:t>
      </w:r>
      <w:r>
        <w:rPr>
          <w:rFonts w:ascii="Times New Roman;serif" w:hAnsi="Times New Roman;serif"/>
          <w:b w:val="false"/>
          <w:color w:val="000000"/>
          <w:sz w:val="20"/>
        </w:rPr>
        <w:t>,” and “PENN Play</w:t>
      </w:r>
      <w:r>
        <w:rPr>
          <w:rFonts w:ascii="Times New Roman;serif" w:hAnsi="Times New Roman;serif"/>
          <w:b w:val="false"/>
          <w:color w:val="000000"/>
          <w:sz w:val="13"/>
        </w:rPr>
        <w:t>®</w:t>
      </w:r>
      <w:r>
        <w:rPr>
          <w:rFonts w:ascii="Times New Roman;serif" w:hAnsi="Times New Roman;serif"/>
          <w:b w:val="false"/>
          <w:color w:val="000000"/>
          <w:sz w:val="20"/>
        </w:rPr>
        <w:t>.” theScore’s registered trademarks and service marks include “theScore</w:t>
      </w:r>
      <w:r>
        <w:rPr>
          <w:rFonts w:ascii="Times New Roman;serif" w:hAnsi="Times New Roman;serif"/>
          <w:b w:val="false"/>
          <w:color w:val="000000"/>
          <w:sz w:val="13"/>
        </w:rPr>
        <w:t>®</w:t>
      </w:r>
      <w:r>
        <w:rPr>
          <w:rFonts w:ascii="Times New Roman;serif" w:hAnsi="Times New Roman;serif"/>
          <w:b w:val="false"/>
          <w:color w:val="000000"/>
          <w:sz w:val="20"/>
        </w:rPr>
        <w:t>,” “theScore Bet</w:t>
      </w:r>
      <w:r>
        <w:rPr>
          <w:rFonts w:ascii="Times New Roman;serif" w:hAnsi="Times New Roman;serif"/>
          <w:b w:val="false"/>
          <w:color w:val="000000"/>
          <w:sz w:val="13"/>
        </w:rPr>
        <w:t>®</w:t>
      </w:r>
      <w:r>
        <w:rPr>
          <w:rFonts w:ascii="Times New Roman;serif" w:hAnsi="Times New Roman;serif"/>
          <w:b w:val="false"/>
          <w:color w:val="000000"/>
          <w:sz w:val="20"/>
        </w:rPr>
        <w:t>,” “theScore Casino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“theScore esports</w:t>
      </w:r>
      <w:r>
        <w:rPr>
          <w:rFonts w:ascii="Times New Roman;serif" w:hAnsi="Times New Roman;serif"/>
          <w:b w:val="false"/>
          <w:color w:val="000000"/>
          <w:sz w:val="13"/>
        </w:rPr>
        <w:t>®</w:t>
      </w:r>
      <w:r>
        <w:rPr>
          <w:color w:val="000000"/>
        </w:rPr>
        <w:t>”</w:t>
      </w:r>
      <w:r>
        <w:rPr>
          <w:rFonts w:ascii="Times New Roman;serif" w:hAnsi="Times New Roman;serif"/>
          <w:b w:val="false"/>
          <w:color w:val="000000"/>
          <w:sz w:val="20"/>
        </w:rPr>
        <w:t>, among others. We believe that our rights to our trademarks are well-established and have competitive value to our properties and businesses. We also have a number of trademark applications pending with the USPTO, CIPO, and the World Intellectual Property Organization.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Among others, we have a licensing agreement with a third-party to use the “Margaritaville” trademark in connection with the operations of Margaritaville in Bossier City, Louisiana.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(including sweepstakes-based OSB and online casino), charitable gaming, video gaming terminals at bars, restaurants, taverns and truck stops, illegal slot machines and skill games, fantasy sports, historical horse racing gaming terminals, prediction markets and other event contracts related to sports or other future outcomes, such as political elections, and third-party internet or mobile-based gaming platforms, including both legal and illegal iCasino and sports betting operations. More generally, both our retail and interactive gaming operations face competition from all manner of leisure and entertainment activities, including shopping, athletic events, television and movies, concerts, and travel. Competition is discussed in further detail within </w:t>
      </w:r>
      <w:hyperlink w:anchor="ic1a494480e6146a1a6acab9187fe13be_61">
        <w:r>
          <w:rPr>
            <w:rStyle w:val="InternetLink"/>
            <w:color w:val="0000FF"/>
            <w:u w:val="single"/>
          </w:rPr>
          <w:t>“</w:t>
        </w:r>
      </w:hyperlink>
      <w:hyperlink w:anchor="ic1a494480e6146a1a6acab9187fe13be_61">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 xml:space="preserve">of this Annual Report on Form 10-K and a discussion of the impact of competition on our results of operations, and cash flows is included within </w:t>
      </w:r>
      <w:hyperlink w:anchor="ic1a494480e6146a1a6acab9187fe13be_88">
        <w:r>
          <w:rPr>
            <w:rStyle w:val="InternetLink"/>
            <w:color w:val="0000FF"/>
            <w:u w:val="single"/>
          </w:rPr>
          <w:t>“</w:t>
        </w:r>
      </w:hyperlink>
      <w:hyperlink w:anchor="ic1a494480e6146a1a6acab9187fe13be_88">
        <w:r>
          <w:rPr>
            <w:rStyle w:val="InternetLink"/>
            <w:rFonts w:ascii="Times New Roman;serif" w:hAnsi="Times New Roman;serif"/>
            <w:b w:val="false"/>
            <w:color w:val="0000FF"/>
            <w:sz w:val="20"/>
            <w:u w:val="single"/>
          </w:rPr>
          <w:t>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operations are subject to seasonality, including seasonality based on the weather in the region in which the properties operate and the travel habits of visitors. Business at our properties can also fluctuate due to specific holidays or other significant events, particularly when a holiday falls in a different quarter than the prior year, city-wide conventions, large sporting events or concerts, or visits by our premium players. We also believe that any seasonality, holiday, or other significant event may affect our various properties or regions differently. We may also experience seasonality with retail and OSB which coincides with certain sporting events, as well as seasons of professional sports teams. See </w:t>
      </w:r>
      <w:hyperlink w:anchor="ic1a494480e6146a1a6acab9187fe13be_61">
        <w:r>
          <w:rPr>
            <w:rStyle w:val="InternetLink"/>
            <w:color w:val="0000FF"/>
            <w:u w:val="single"/>
          </w:rPr>
          <w:t>“</w:t>
        </w:r>
      </w:hyperlink>
      <w:hyperlink w:anchor="ic1a494480e6146a1a6acab9187fe13be_61">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Government Regulation and Gaming Issues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gaming and racing industries are highly regulated, and we must maintain our licenses and pay gaming taxes to continue our operations. Our online gaming operations and each of our properties are subject to extensive regulation under the laws, rules, and regulations of the jurisdictions where we operate. These laws, rules, and regulations generally concern the responsibility, financial stability, and character of the owners, managers, and persons with financial interests in the gaming operations. Violations of laws or regulations in one jurisdiction could result in disciplinary action in other jurisdictions. For a more detailed description of the statutes and regulations to which we are subject, see </w:t>
      </w:r>
      <w:hyperlink w:anchor="pennex991123125.htm">
        <w:r>
          <w:rPr>
            <w:rStyle w:val="InternetLink"/>
            <w:rFonts w:ascii="Times New Roman;serif" w:hAnsi="Times New Roman;serif"/>
            <w:b w:val="false"/>
            <w:color w:val="0000FF"/>
            <w:sz w:val="20"/>
            <w:u w:val="single"/>
          </w:rPr>
          <w:t>Exhibit 99.1, “Description of Government Regulations”</w:t>
        </w:r>
      </w:hyperlink>
      <w:r>
        <w:rPr>
          <w:color w:val="000000"/>
        </w:rPr>
        <w:t xml:space="preserve"> </w:t>
      </w:r>
      <w:r>
        <w:rPr>
          <w:rFonts w:ascii="Times New Roman;serif" w:hAnsi="Times New Roman;serif"/>
          <w:b w:val="false"/>
          <w:color w:val="000000"/>
          <w:sz w:val="20"/>
        </w:rPr>
        <w:t xml:space="preserve">to this Annual Report on Form 10-K, which is incorporated herein by reference. Our businesses are subject to various international, federal, state, provincial,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data privacy, anti-money laundering, and marketing and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Employees and Human Capital Resources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human capital strategy is focused on attracting, developing, engaging, and retaining high-quality talent to support our operating priorities. Our commitment to an equal opportunity and respectful workplace where team members feel valued, respected, and supported is an important factor in our success. Our programs are designed to strengthen succession pipelines for key roles and leadership positions; recognize and support team members through competitive pay and benefits; promote community engagement through our philanthropic efforts; and invest in technology and resources that help team members perform their jobs efficiently.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23,441 full-time and part-time employees. We had 35 collective bargaining agreements covering approximately 4,286 active union employees, of which 15 are scheduled to expire in 2026. Although we believe we have strong employee relations, there can be no assurance that we will be able to extend or enter into replacement agreements, or that any such agreements will be on terms comparable to existing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the efforts of our corporate, interactive, and retail property leadership teams, and our charitable foundation, we continued, launched and/or expanded several initiatives in 2025 intended to support our team members and their families and strengthen the communities in which we operate.</w:t>
      </w:r>
    </w:p>
    <w:p>
      <w:pPr>
        <w:pStyle w:val="TextBody"/>
        <w:bidi w:val="0"/>
        <w:spacing w:lineRule="auto" w:line="276"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Key programs and initiatives include:</w:t>
      </w:r>
    </w:p>
    <w:p>
      <w:pPr>
        <w:pStyle w:val="TextBody"/>
        <w:bidi w:val="0"/>
        <w:spacing w:before="0" w:after="0"/>
        <w:ind w:left="0" w:right="0" w:firstLine="360"/>
        <w:jc w:val="left"/>
        <w:rPr/>
      </w:pPr>
      <w:r>
        <w:rPr/>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Talent development and succession planning.</w:t>
      </w:r>
      <w:r>
        <w:rPr>
          <w:color w:val="000000"/>
        </w:rPr>
        <w:t xml:space="preserve"> </w:t>
      </w:r>
      <w:r>
        <w:rPr>
          <w:rFonts w:ascii="Times New Roman;serif" w:hAnsi="Times New Roman;serif"/>
          <w:b w:val="false"/>
          <w:color w:val="000000"/>
          <w:sz w:val="20"/>
        </w:rPr>
        <w:t>We conduct regular talent review cycles for salaried team members to identify high-potential talent for promotions and stretch opportunities and to align team members with development plans.</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Leadership and skills development.</w:t>
      </w:r>
      <w:r>
        <w:rPr>
          <w:color w:val="000000"/>
        </w:rPr>
        <w:t xml:space="preserve"> </w:t>
      </w:r>
      <w:r>
        <w:rPr>
          <w:rFonts w:ascii="Times New Roman;serif" w:hAnsi="Times New Roman;serif"/>
          <w:b w:val="false"/>
          <w:color w:val="000000"/>
          <w:sz w:val="20"/>
        </w:rPr>
        <w:t xml:space="preserve">We continued to provide leadership training and functional development through various programs designed for hourly and salaried team members who seek advancement into leadership roles. We also support leader readiness through self-paced learning platforms and an enterprise e-course for people leaders, with additional training planned for 2026. </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Mentoring and inclusion.</w:t>
      </w:r>
      <w:r>
        <w:rPr>
          <w:color w:val="000000"/>
        </w:rPr>
        <w:t xml:space="preserve"> </w:t>
      </w:r>
      <w:r>
        <w:rPr>
          <w:rFonts w:ascii="Times New Roman;serif" w:hAnsi="Times New Roman;serif"/>
          <w:b w:val="false"/>
          <w:color w:val="000000"/>
          <w:sz w:val="20"/>
        </w:rPr>
        <w:t>We continue to scale our development opportunities through programs that provide development and networking opportunities to team members</w:t>
      </w:r>
      <w:r>
        <w:rPr>
          <w:strike/>
          <w:color w:val="000000"/>
        </w:rPr>
        <w:t xml:space="preserve"> </w:t>
      </w:r>
      <w:r>
        <w:rPr>
          <w:rFonts w:ascii="Times New Roman;serif" w:hAnsi="Times New Roman;serif"/>
          <w:b w:val="false"/>
          <w:color w:val="000000"/>
          <w:sz w:val="20"/>
        </w:rPr>
        <w:t>across the organization. These efforts are supported by enterprise learning resources such as PENN Ed and Learning Central.</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Engagement, recognition, and culture.</w:t>
      </w:r>
      <w:r>
        <w:rPr>
          <w:color w:val="000000"/>
        </w:rPr>
        <w:t xml:space="preserve"> </w:t>
      </w:r>
      <w:r>
        <w:rPr>
          <w:rFonts w:ascii="Times New Roman;serif" w:hAnsi="Times New Roman;serif"/>
          <w:b w:val="false"/>
          <w:color w:val="000000"/>
          <w:sz w:val="20"/>
        </w:rPr>
        <w:t>We reinforce engagement and performance through enterprise recognition and communication platforms, which support cross-property connection and collaboration. We also provide internal communications to share timely updates and stories across the organization.</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Service excellence and brand alignment.</w:t>
      </w:r>
      <w:r>
        <w:rPr>
          <w:color w:val="000000"/>
        </w:rPr>
        <w:t xml:space="preserve"> </w:t>
      </w:r>
      <w:r>
        <w:rPr>
          <w:rFonts w:ascii="Times New Roman;serif" w:hAnsi="Times New Roman;serif"/>
          <w:b w:val="false"/>
          <w:color w:val="000000"/>
          <w:sz w:val="20"/>
        </w:rPr>
        <w:t>We invest in training to support guest service and operating standards, including our partnership with service culture experts, to develop and implement a guest service model aligned with the Hollywood Casino rebrand.</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Onboarding and support for leaders.</w:t>
      </w:r>
      <w:r>
        <w:rPr>
          <w:color w:val="000000"/>
        </w:rPr>
        <w:t xml:space="preserve"> </w:t>
      </w:r>
      <w:r>
        <w:rPr>
          <w:rFonts w:ascii="Times New Roman;serif" w:hAnsi="Times New Roman;serif"/>
          <w:b w:val="false"/>
          <w:color w:val="000000"/>
          <w:sz w:val="20"/>
        </w:rPr>
        <w:t>We launched a structured onboarding experience for new people leaders, including a centralized SharePoint resource and a toolkit intended to support consistent leadership practices.</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Innovation and continuous improvement.</w:t>
      </w:r>
      <w:r>
        <w:rPr>
          <w:color w:val="000000"/>
        </w:rPr>
        <w:t xml:space="preserve"> </w:t>
      </w:r>
      <w:r>
        <w:rPr>
          <w:rFonts w:ascii="Times New Roman;serif" w:hAnsi="Times New Roman;serif"/>
          <w:b w:val="false"/>
          <w:color w:val="000000"/>
          <w:sz w:val="20"/>
        </w:rPr>
        <w:t>We encourage cross-functional innovation through PENN-Ovation, our internal innovation challenge, supported by executive coaches and senior executive sponsorship. In 2025 we expanded SmartDollar, a financial wellness program introduced by a 2024 PENN-Ovation team, designed to help team members increase savings and eliminate personal debt.</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Community and purpose.</w:t>
      </w:r>
      <w:r>
        <w:rPr>
          <w:color w:val="000000"/>
        </w:rPr>
        <w:t xml:space="preserve"> </w:t>
      </w:r>
      <w:r>
        <w:rPr>
          <w:rFonts w:ascii="Times New Roman;serif" w:hAnsi="Times New Roman;serif"/>
          <w:b w:val="false"/>
          <w:color w:val="000000"/>
          <w:sz w:val="20"/>
        </w:rPr>
        <w:t>We support educational access through initiatives such as our PENN Scholarship Fund for the children of our team members. Additionally, we partner with universities/colleges to provide scholarships for STEM students and Veterans in the states where we operate.</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Talent pipelines and mobility.</w:t>
      </w:r>
      <w:r>
        <w:rPr>
          <w:color w:val="000000"/>
        </w:rPr>
        <w:t xml:space="preserve"> </w:t>
      </w:r>
      <w:r>
        <w:rPr>
          <w:rFonts w:ascii="Times New Roman;serif" w:hAnsi="Times New Roman;serif"/>
          <w:b w:val="false"/>
          <w:color w:val="000000"/>
          <w:sz w:val="20"/>
        </w:rPr>
        <w:t>We build early-career pipelines through LEAP, our internship program. We also emphasize internal mobility, including filling the majority of open executive positions at the property level in 2025 with internal candidates or returning team members.</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Veteran pathways.</w:t>
      </w:r>
      <w:r>
        <w:rPr>
          <w:color w:val="000000"/>
        </w:rPr>
        <w:t xml:space="preserve"> </w:t>
      </w:r>
      <w:r>
        <w:rPr>
          <w:rFonts w:ascii="Times New Roman;serif" w:hAnsi="Times New Roman;serif"/>
          <w:b w:val="false"/>
          <w:color w:val="000000"/>
          <w:sz w:val="20"/>
        </w:rPr>
        <w:t>We received approval from the Department of Defense to offer a SkillBridge program (PENN Fellowship) for transitioning service members to gain hands-on experience during their final 180 days of service. We welcomed our first Fellow in 2025, and additional Fellows are expected to begin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www.pennentertainment.com that includes more information about us. The contents of our website are not part of this Annual Report on Form 10-K. Our electronic filings with the U.S. Securities and Exchange Commission (“SEC”) (including all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 Our filings are also available through a database maintained by the SEC at www.sec.gov.</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use our website as a means of disclosing material nonpublic information. We also may use social media channels to communicate with investors and the public about our business, products and other matters, and those communications could be deemed to include material information. Therefore, we encourage investors, the media and others interested in the Company to monitor and review the information we make available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1A.RISK FACTORS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and uncertainties. You should consider carefully, among other things, the risks described below, together with the other information in this report, before making an investment decision with respect to our securities. The occurrence of any of the following risks, or additional risks and uncertainties not presently known to us, could materially and adversely affect our business, financial condition, and results of operations.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financial condition, and results of operations. This summary should not be considered a substitute for the detailed risk factors described below.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Risks Related to Our Business, Industry and Market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gaming, media, and entertainment industries are highly competitive, and we expect competition to continue to intensify, including as a result of growing competition from new forms of gaming such as prediction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is sensitive to reductions in discretionary consumer spending, which may be adversely impacted by downturns in the economy and other factors outside of our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results of operations fluctuate due to seasonality and other factors, which could make our future operating results difficult to predict.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Participation in the sports betting industry exposes us to trading, liability management, and pricing risk.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Shareholder activists have, and could in the future, cause a disruption to, or have an adverse effect on our business.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Risks Related to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generate a significant percentage of our revenues from certain geographic regions and our ability to meet our operating and debt service requirements is dependent, in part, upon the continued success of these regions.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significant portion of our cash flow from operations is used to make interest payments and rent payments under our debt and lease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require additional capital to support our growth plans, and such capital may not be available on terms acceptable to us, if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There can be no assurance that we will be able to compete effectively or generate sufficient returns from our OSB and iCasino operations, including theScore Bet and Hollywood iCasino.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including win or hold rates, of existing or future retail, sports betting, and iCasino products depends on a variety of factors, including factors beyond our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the risk of fraud, theft, and cheating.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risks associated with leased property, as most of our facilities are leased.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operations in several jurisdictions depend on development agreements, management agreements and/or leases with third parties and local governments that may not be renewed or the terms of a renewal may require significant fees or capital expenditure commitments.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third parties to provide services that are essential to the operation of our OSB and iCasino business, including geolocation, identity and age verification, payment processing, and sports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termination of our partnership with ESPN could negatively impact our business, reputation, financial condition,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our business is largely dependent on the skill and experience of management and key personnel, and our ability to attract and retain talented team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risks related to collective bargaining activity and strikes.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unable to protect or may not be successful in protecting our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commercial success depends upon us avoiding the infringement of intellectual property rights owned by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technology contains third-party open source software components.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face disruption and other difficulties in integrating and managing acquired operations or other initiatives we have recently acquired, may develop, or may acquire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facilities that are located in areas that experience extreme weather conditions, which may increase in frequency and severity as a result of climate 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growth and success depend, in part, on the success of our strategic relationships with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growth of our Interactive segment will depend on our ability to attract and retain users, which may require investments in our online offerings, technology, and strategic marketing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follow the sports betting industry practice of restricting and managing betting limits at the individual customer level, with limits determined by customer profiles and acceptable enterprise risk; however, there is no guarantee that gaming regulatory authorities will continue to allow operators to follow such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extend credit to a portion of our customers who wager at our retail properties, and we may not be able to collect gaming receivables from our credit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a number of challenges prior to opening new or upgraded gaming properties, launching iCasino and sports betting in new jurisdictions, or launching new iCasino or sports betting offerings.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Legal and Regulatory Risk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extensive regulation from gaming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certain federal, state, provincial and other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From time to time we may become involved in legal proceedings, and no assurance can be provided as to the outcome of these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State and local smoking restrictions have and may continue to negatively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consumer privacy laws could adversely affect our ability to market our products effectively and may require us to change our business practices or expend significant amounts on compliance with such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experience material increases to our taxes or the adoption of new taxes or the authorization of new or increased forms of gaming.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are subject to environmental laws and potential exposure to environmental liabilities.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risks and costs related to climate change regulations.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Risks Related to Our Information Systems and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our third-party mobile application distribution platforms or service providers do not perform adequately or terminate their relationships with us, our business may be disrupted or our costs may increase.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internet and other technology-based service providers experience service interruptions, our ability to conduct our business may be impaired.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third party cloud infrastructure services to deliver our offerings to users, and we have experienced, and expect in the future to experience, service interruptions, delays, and outages.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information technology and other systems are subject to cybersecurity risk, including misappropriation of employee information, customer information or other breaches of information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begun using artificial intelligence, machine learning, data science and similar technologies in our business, and challenges with properly managing such technologies could result in reputational harm, competitive harm, and legal liability, and adversely affect our results of operations.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 Industry, and Market Conditions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The gaming, media, and entertainment industries are highly competitive, and we expect competition to continue to intensify, including as a result of growing competition from new forms of gaming such as prediction markets.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(including sweepstakes-based OSB and online casino), charitable gaming, video gaming terminals at bars, restaurants, taverns and truck stops, illegal slot machines and skill games, fantasy sports, historical horse racing gaming terminals, prediction markets and other event contracts related to sports or other future outcomes, such as political elections, and third-party internet or mobile-based gaming platforms, including both legal and illegal iCasino and sports betting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both our retail and interactive gaming operations face competition from all manner of leisure and entertainment activities, including shopping, athletic events, television and movies, concerts, and travel.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competitors have invested in expanding existing facilities, developing new facilities, and acquiring established facilities in existing markets. We expect this significant competition to continue, which may require us to undertake additional substantial capital expenditures to maintain and enhance the competitive positioning of our properties and the attractiveness of our facilities. There can be no assurance that we will have sufficient funds, or be able to obtain sufficient financing, to undertake such expenditures or that we will realize an adequate return on such expenditures. If we are unable to make such expenditures, our competitive position could be materially adversely affected.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Similarly, there is significant competition among iCasino and OSB providers, and certain competitors have achieved meaningful economies of scale. This scale could result in competitors with increased financial resources and more efficient cost structures, which may enable them to offer more competitive products, gain a larger market share, expand offerings, adopt aggressive pricing or promotional policies, and broaden their geographic scope of operations. In addition, iCasino and online sports betting providers face growing competition from prediction markets. The regulatory and legal frameworks applicable to prediction markets are complex, evolving and may involve overlapping federal and state oversight, and we are continuing to monitor developments in this area. If our offerings are not competitive, including as a result of our competitors adopting or developing new technologies, such as using artificial intelligence to enhance their product offerings and marketing efforts, or innovative products more quickly or successfully than us, our Interactive segment’s business, financial condition, and results of operations could suffer.</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is sensitive to reductions in discretionary consumer spending, which may be adversely impacted by downturns in the economy and other factors outside of our control.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particularly sensitive to downturns in the economy and the associated impact on discretionary spending on leisure activities. As a regional operator, our in-person customers are predominately local, so we compete for more day-to-day discretionary spending as compared with destination spending. Decreases in discretionary consumer spending or changes in consumer preferences, including as a result of perceived or actual adverse economic conditions or inflation, changes in interest or unemployment rates, government shutdowns, tight credit conditions, increased housing, energy, food and travel costs, global hostilities, trade disputes, including the imposition of new or increased tariffs, political or social unrest, widespread illnesses, or other factors beyond our control, could adversely affect the gaming and entertainment industries and demand for our products and amenities, which could materially and adversely affect our business,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the U.S. has recently announced certain changes, and has proposed additional changes, in trade policies, including imposing significant tariffs on imports from other countries. These actions have resulted, and are expected to further result, in responsive actions by impacted countries. There continues to be significant uncertainty regarding the extent and duration of the tariffs, and any resulting economic downturns or market volatility may adversely impact our business,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results of operations fluctuate due to seasonality and other factors, which could make our future operating results difficult to predict.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online sportsbook, retail sportsbook, and core retail business operations fluctuate due to seasonal trends and other factors. For example, we have experienced sports betting volume decreases during applicable off-seasons and increases during significant sporting events. In addition, the performance of certain individual athletes or teams may significantly impact our financial performance. Our retail gaming operations are also subject to seasonality, including seasonality based on the weather in the markets in which they operate, specific holidays, or other significant events.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operations of our properties are subject to disruptions or reduced patronage, including as a result of severe weather conditions, natural disasters, acts or threats of terrorism, concerns about widespread illnesses, and other significant events. The closings of, or reduced visitation volumes at, our properties due to such events have in the past and may in the future result in lost profits, and there can be no assurances that we will be fully or promptly compensated by our business interruption insurance coverage, if at all. Also, the costs of insurance against these types of events has increased in recent years. In addition, the occurrence of such an event may adversely impact general economic or other conditions in the areas in which our properties are located or from which they draw their patrons, and our business, financial condition, and results of operations could be materially adversely affected.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a customer’s skill, experience, and behavior, the mix of games played, the financial resources of customers, the volume of bets placed and the amount of time spent playing may also impact our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Participation in the sports betting industry exposes us to trading, liability management, and pricing risk.</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fixed-odds betting products involve betting where winnings are paid on the basis of the stake placed and the odds quoted. Odds are determined with the objective of providing an average return to us over a large number of events. However, there can be significant variation in gross win percentage on an event-by-event and day-by-day basis. We have systems and controls that seek to reduce the risk of daily losses occurring on a gross-win basis, but there can be no assurance that these will be effective in reducing our exposure, and consequently our exposure to this risk in the future, including because such risk is impacted by factors that are beyond our control, such as a customer’s skill, experience, and behavior, the mix of games played, the financial resources of customers, the volume of bets placed and the amount of time spent playing. As a result, in the short term, there is less certainty of generating a positive gross win, and we may experience (and we have from time to time experienced) significant losses with respect to individual events or betting outcomes, in particular if large individual bets are placed on an event or betting outcome or series of events or betting outcomes. Odds compilers and risk managers are capable of human error, thus even though a number of betting products are subject to capped pay-outs, significant volatility can occur. In addition, it is possible that there may be such a high volume of trading during any particular period that even automated systems would be unable to address and eradicate all risks. Any significant losses on a gross-win basis could have a material adverse effect on our business, financial condition, and results of operations. In addition, if a jurisdiction where we hold or wish to apply for a license imposes a high handle tax on betting (as opposed to a gross-win or revenue tax), such action would adversely impact profitability, particularly with high value/low margin bets, and likewise have a material adverse effect on our business.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Shareholder activists have, and could in the future, cause a disruption to, or have an adverse effect on, our business.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subject to shareholder activism and may be subject to such activism in the future, which may include proxy solicitations, shareholder proposals or other actions by activists to effect changes to the Company or to assert influence on the Company’s Board of Directors (the “Board”) and management. For example, in January 2025, HG Vora Capital Management, LLC (“HG Vora”) notified our Board that it had nominated three director candidates to stand for election at the Company’s 2025 annual meeting of shareholders held on June 17, 2025 (the “2025 Annual Meeting”), William Clifford, Johnny Hartnett, and Carlos Ruisanchez. Subsequently, the Board’s Nominating and Corporate Governance Committee reviewed HG Vora’s nominees in line with the Company’s normal evaluation procedures, including conducting thorough interviews with all nominees. Following this evaluation, the Board nominated Mr. Hartnett and Mr. Ruisanchez for election to the Board at the 2025 Annual Meeting for the two available Board seats. HG Vora filed a definitive proxy statement with the SEC on May 12, 2025, and sought the election of three director candidates to the Board, despite there being only two Board seats available for election. At the 2025 Annual Meeting, our shareholders elected each of Mr. Hartnett and Mr. Ruisanchez to our Board. In February 2026, the Company entered into a cooperation agreement (the “Cooperation Agreement”) with HG Vora and certain related parties, providing for, among other things, the appointment of Heather Ace, Jeffrey Fox, and Fabio Schiavolin to the Board. Pursuant to the Cooperation Agreement, HG Vora has agreed to abide by customary standstill restrictions, and the Company and HG Vora have also agreed to certain nondisparagement obligations, in each case which remain in effect until forty-five days prior to the deadline for the submission of shareholder nominations of directors and business proposals for the Company’s 2028 Annual Meeting of Shareholders. In addition, HG Vora agreed to voluntarily dismiss the litigation in the United States District Court for the Eastern District of Pennsylvania captioned HG Vora Capital Management, LLC, et al. v. PENN Entertainment, Inc., et al., No. 5:25-cv-02313, which case was dismissed with prejudice on February 23, 2026. The foregoing description of the Cooperation Agreement does not purport to be complete and is qualified in its entirety by reference to the full text of the Cooperation Agreement, a copy of which was filed as Exhibit 10.1 to the Company’s Current Report on Form 8-K, filed with the SEC on February 23, 2026, and is incorporated herein by reference.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Shareholder activism pursued against the Company has in the past, and may in the future, give rise to or result in, among other things: (i) increased costs, including expenses of third-party advisors, insurance, legal, administrative expenses and other associated costs; (ii) perceived uncertainties as to our future direction, which could result in reputational harm and the loss of potential business opportunities and could make it more difficult to attract, retain, or motivate qualified personnel, and strain relationships with investors, customers, suppliers, business partners, and regulators; (iii) reduction or delay in our ability to effectively and timely execute our current business strategy and to implement new strategies; (iv) diversion of the attention of our Board and management team; (v) potential litigation as a result of proposals by activist stockholders or proxy contests or matters relating thereto; (vi) adverse implications from a gaming regulatory perspective, including those arising from a shareholder activist failing to comply with applicable gaming laws in connection with its investment in the Company, the imposition of additional conditions for obtaining or maintaining gaming licenses or other actions that could have an adverse impact on our gaming licenses; and (vii) fluctuations in the Company’s stock price based on temporary or speculative market perceptions, changes in our investor base, or other factors that do not necessarily reflect the underlying fundamentals and prospects of our business. Any such shareholder activism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Our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generate a significant percentage of our revenues from certain geographic regions and our ability to meet our operating and debt service requirements is dependent, in part, upon the continued success of these regions.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we generated 13.4%, 11.8%, 9.2%, and 8.4% of our revenues from our retail properties within the states of Ohio, Louisiana, Missouri, and Pennsylvania respectively. As a result, our results are dependent on the regional economies and competitive landscapes in these specific markets. Our ability to meet our operating and debt service requirements is thus dependent, in part, upon the continued success of our properties in these key regions. The operating results of these retail properties may be adversely impacted by changes in local economic and competitive conditions or local and state governmental laws and regulations, including gaming laws and regulations, and the application thereof, natural and other disasters, including the effects of climate change such as severe storms, hurricanes, typhoons, rising sea levels, or severe drought, or outbreaks of infectious diseases, increases in the costs of maintaining these properties, and declines in the number of visitors or in gaming and non-gaming activities at our properties in such regions. Any of these factors could negatively affect our business, financial condition, and results of operations, including our ability to generate sufficient cash flow to meet our operating and debt service requirements.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A significant portion of our cash flow from operations is used to make interest payments and rent payments under our debt and lease agreements.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December 31, 2025, we had indebtedness of $2.9 billion, including $2.0 billion outstanding under our Amended Credit Facilities. We also utilize a significant portion of our cash flow from operations to make our rent payments, which were $967.8 million for the year ended December 31, 2025, pursuant to and subject to the terms and conditions of our Master Leases, VICI Master Lease, Margaritaville Lease (prior to December 4, 2025), Greektown Lease (prior to December 4, 2025), and Morgantown Lease, (as defined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shd w:fill="FFFFFF" w:val="clear"/>
        </w:rPr>
        <w:t>in the notes to our Consolidated Financial Statements</w:t>
      </w:r>
      <w:r>
        <w:rPr>
          <w:rFonts w:ascii="Times New Roman;serif" w:hAnsi="Times New Roman;serif"/>
          <w:b w:val="false"/>
          <w:color w:val="000000"/>
          <w:sz w:val="20"/>
        </w:rPr>
        <w:t>, collectively, our “Triple Net Leases”). As a result of these commitments under our Triple Net Leases, our ability to fund our own operations or development projects, raise capital, make acquisitions and otherwise respond to competitive and economic changes may be adversely affected. Further, our obligations under the Triple Net Leases may make it more difficult or restrict, as applicable, our ability to satisfy our obligations with respect to our indebtedness, obtain additional financing, raise capital, make acquisitions or divestitures, or engage in other significant transactions. Any of the aforementioned factors could have a material adverse effect on our business, financial condition, and results of operations.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There is no assurance that our business will generate sufficient cash flow from operations or that future borrowings will be available to us under our Amended Credit Facilities (as defined in </w:t>
      </w:r>
      <w:hyperlink w:anchor="ic1a494480e6146a1a6acab9187fe13be_175">
        <w:r>
          <w:rPr>
            <w:rStyle w:val="InternetLink"/>
            <w:rFonts w:ascii="Times New Roman;serif" w:hAnsi="Times New Roman;serif"/>
            <w:b w:val="false"/>
            <w:color w:val="0000FF"/>
            <w:sz w:val="20"/>
            <w:u w:val="single"/>
          </w:rPr>
          <w:t>Note 10, “Long-term Debt”</w:t>
        </w:r>
      </w:hyperlink>
      <w:r>
        <w:rPr>
          <w:color w:val="000000"/>
        </w:rPr>
        <w:t xml:space="preserve"> </w:t>
      </w:r>
      <w:r>
        <w:rPr>
          <w:rFonts w:ascii="Times New Roman;serif" w:hAnsi="Times New Roman;serif"/>
          <w:b w:val="false"/>
          <w:color w:val="000000"/>
          <w:sz w:val="20"/>
          <w:shd w:fill="FFFFFF" w:val="clear"/>
        </w:rPr>
        <w:t>in the notes to our Consolidated Financial Statements</w:t>
      </w:r>
      <w:r>
        <w:rPr>
          <w:rFonts w:ascii="Times New Roman;serif" w:hAnsi="Times New Roman;serif"/>
          <w:b w:val="false"/>
          <w:color w:val="000000"/>
          <w:sz w:val="20"/>
        </w:rPr>
        <w:t>) or otherwise in amounts sufficient to enable us to fund our liquidity needs, including with respect to our indebtedness and rent payments, or development projects. Our variable rate borrowings expose us to interest rate volatility, which could cause our debt service obligations to increase significantly. We also may incur indebtedness related to properties we develop or acquire in the future prior to generating cash flow from those properties. For example, for the year ended December 31, 2025, we incurred project capital expenditures of $408.4 million, the majority of which are</w:t>
      </w:r>
      <w:r>
        <w:rPr>
          <w:color w:val="000000"/>
          <w:shd w:fill="FFFFFF" w:val="clear"/>
        </w:rPr>
        <w:t xml:space="preserve"> </w:t>
      </w:r>
      <w:r>
        <w:rPr>
          <w:rFonts w:ascii="Times New Roman;serif" w:hAnsi="Times New Roman;serif"/>
          <w:b w:val="false"/>
          <w:color w:val="000000"/>
          <w:sz w:val="20"/>
        </w:rPr>
        <w:t xml:space="preserve">in connection with the PENN Development Projects (as defined in the </w:t>
      </w:r>
      <w:hyperlink w:anchor="ic1a494480e6146a1a6acab9187fe13be_91">
        <w:r>
          <w:rPr>
            <w:rStyle w:val="InternetLink"/>
            <w:color w:val="0000FF"/>
            <w:u w:val="single"/>
          </w:rPr>
          <w:t>“</w:t>
        </w:r>
      </w:hyperlink>
      <w:hyperlink w:anchor="ic1a494480e6146a1a6acab9187fe13be_91">
        <w:r>
          <w:rPr>
            <w:rStyle w:val="InternetLink"/>
            <w:rFonts w:ascii="Times New Roman;serif" w:hAnsi="Times New Roman;serif"/>
            <w:b w:val="false"/>
            <w:color w:val="0000FF"/>
            <w:sz w:val="20"/>
            <w:u w:val="single"/>
          </w:rPr>
          <w:t>Executive Overview”</w:t>
        </w:r>
      </w:hyperlink>
      <w:r>
        <w:rPr>
          <w:color w:val="000000"/>
        </w:rPr>
        <w:t xml:space="preserve"> </w:t>
      </w:r>
      <w:r>
        <w:rPr>
          <w:rFonts w:ascii="Times New Roman;serif" w:hAnsi="Times New Roman;serif"/>
          <w:b w:val="false"/>
          <w:color w:val="000000"/>
          <w:sz w:val="20"/>
        </w:rPr>
        <w:t>within our Management’s Discussion and Analysis). If those properties or other properties we develop or acquire do not provide us with sufficient cash flow to service that indebtedness, we will need to rely on cash flow from other properties or sources, which would increase our leverage. In addition, if we consummate significant acquisitions in the future, our cash requirements may increase significantly.</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growth plans, and such capital may not be available on terms acceptable to us, if at all.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may finance some of our current and future expansion, development and renovation projects and acquisitions with cash flow from operations, borrowings under our Amended Credit Facilities and equity or debt financings. For more information regarding our future development projects, see “Recent Development Projects” in the </w:t>
      </w:r>
      <w:hyperlink w:anchor="ic1a494480e6146a1a6acab9187fe13be_91">
        <w:r>
          <w:rPr>
            <w:rStyle w:val="InternetLink"/>
            <w:color w:val="0000FF"/>
            <w:u w:val="single"/>
          </w:rPr>
          <w:t>“</w:t>
        </w:r>
      </w:hyperlink>
      <w:hyperlink w:anchor="ic1a494480e6146a1a6acab9187fe13be_91">
        <w:r>
          <w:rPr>
            <w:rStyle w:val="InternetLink"/>
            <w:rFonts w:ascii="Times New Roman;serif" w:hAnsi="Times New Roman;serif"/>
            <w:b w:val="false"/>
            <w:color w:val="0000FF"/>
            <w:sz w:val="20"/>
            <w:u w:val="single"/>
          </w:rPr>
          <w:t>Executive Overview”</w:t>
        </w:r>
      </w:hyperlink>
      <w:r>
        <w:rPr>
          <w:color w:val="000000"/>
        </w:rPr>
        <w:t xml:space="preserve"> </w:t>
      </w:r>
      <w:r>
        <w:rPr>
          <w:rFonts w:ascii="Times New Roman;serif" w:hAnsi="Times New Roman;serif"/>
          <w:b w:val="false"/>
          <w:color w:val="000000"/>
          <w:sz w:val="20"/>
        </w:rPr>
        <w:t>within our Management’s Discussion and Analysis. If we are unable to finance our current or future projects, we may need to seek alternative financing. Depending on credit market conditions, including the current high interest rate environment, alternative sources of funds may not be sufficient to finance our expansion, development and/or renovation, or such other financing may not be available on acceptable terms, in a timely manner or at all. In addition, our existing indebtedness contains restrictions on our ability to incur additional indebtedness, beyond certain levels. If we are unable to secure additional financing, we could be forced to limit or suspend expansion, development, and renovation projects and acquisitions,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$406.1 million is available under our Amended Revolving Credit Facility, which expires in 2027. There is no certainty that our lenders will continue to remain solvent or fund their respective obligations under our Amended Credit Facilities. Our access to funding sources and other credit arrangements in amounts adequate to finance or capitalize our current and projected future business operations could be significantly impaired by factors that affect us, the financial services industry or economy in general, including events involving limited liquidity, defaults, or non-performance, or concerns or rumors about any such events, as well as our commitments under certain agreements, including our Triple Net Leases and our indemnification obligations.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There can be no assurance that we will be able to compete effectively or generate sufficient returns from our OSB and iCasino operations, including theScore Bet and Hollywood iCasino.</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jurisdictions in which we operate have legalized intra-state sports wagering and have established extensive state licensing and regulatory requirements governing any such intra-state sports wagering. As of December 31, 2025, we offer OSB in 22 jurisdictions, and we may launch OSB in additional jurisdictions in 2026. Additionally, we have entered into agreements with other OSB and iCasino operators and may enter into additional agreements with strategic partners and other third-party vendors to provide market access in certain jurisdictions.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sports betting and iCasino operations compete, and will continue to compete, in a rapidly evolving and highly competitive market against an increasing number of competitors. There can be no assurance that we will realize the anticipated benefits of our OSB and iCasino operations. Further, the success of our proposed sports betting and iCasino operations is dependent on a number of additional factors, many of which are beyond our control, including tax rates and license fees, our ability to gain market share, our ability to attract and retain customers, the success of our rebranding initiative across our OSB platforms in the U.S., the timeliness and viability of our products, our ability to compete with new entrants in the market (including those offering sports events through prediction markets), changes in consumer demographics and public tastes and preferences, unexpected sporting event cancellations or delays, and the availability and popularity of other forms of entertainment. There can be no assurance that our OSB and iCasino operations will be able to compete effectively or generate sufficient returns. These factors could cause the market price of our common stock to decline, and adversely impact our financial condition, results of operations and cash flows.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The success, including win or hold rates, of existing or future retail, sports betting, and iCasino products depends on a variety of factors, including factors beyond our control.</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retail and online gaming industries are characterized by an element of chance. Accordingly, we employ theoretical win rates to estimate what a certain type of gaming device, table game, sports bet or iCasino game (“Gaming Offerings”), on average, will win or lose over the long term. Net win is impacted by variations in the hold percentage (the ratio of net win to total amount wagered), or actual outcome, in Gaming Offerings. W</w:t>
      </w:r>
      <w:r>
        <w:rPr>
          <w:rFonts w:ascii="Times New Roman;serif" w:hAnsi="Times New Roman;serif"/>
          <w:b w:val="false"/>
          <w:color w:val="000000"/>
          <w:sz w:val="20"/>
          <w:shd w:fill="FFFFFF" w:val="clear"/>
        </w:rPr>
        <w:t>e use hold percen</w:t>
      </w:r>
      <w:r>
        <w:rPr>
          <w:rFonts w:ascii="Times New Roman;serif" w:hAnsi="Times New Roman;serif"/>
          <w:b w:val="false"/>
          <w:color w:val="000000"/>
          <w:sz w:val="20"/>
        </w:rPr>
        <w:t>tage as an indicator of the performance of the Gaming Offering to compare against its expected outcome. Although each Gaming Offering generally performs within a defined statistical range of outcomes, actual outcomes may vary for any given period. In addition to the element of chance, win rates (hold percentages) may also (depending on the game involved) be affected by the spread of limits and factors that are beyond our control, such as a customer’s skill, experience, and behavior, the mix of games played, the financial resources of customers, the volume of bets placed and the amount of time spent playing. As a result of the variability in these factors, the actual win rates on our Gaming Offerings may differ from the theoretical win rates we have estimated and could result in the customer’s winnings exceeding those anticipated. For example, in the past, certain VIP patrons have placed bets or series of bets that resulted in large payouts and negatively impacted our results of operations. Similar events caused by the variability of win rates (hold rates) have the potential to negatively impact our business,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also depends in part on our ability to anticipate and satisfy user preferences in a timely manner. As we operate in a dynamic environment characterized by rapidly changing industry and legal standards, our products will be subject to changing consumer preferences that cannot be predicted with certainty. We will need to continually introduce new offerings and identify future product offerings that complement our existing technology, respond to our users’ needs and improve and enhance our existing technology to maintain or increase our user engagement and growth of our business. We may not be able to compete effectively unless our product selection keeps up with trends in the retail and digital sports entertainment, sports betting, and gaming industries in which we compete, or trends in new gaming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the risk of fraud, theft, and cheating.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criminal use of user identification and password credentials sold on the dark web, and unpaid or counterfeit receipts. Failure to prevent or discover such acts or schemes in a timely manner may result in losses in our operations. In the event of the occurrence of any such issues with our existing technology or product offerings, substantial resources and management attention may be diverted from other projects to correct these issues, which may delay other projects and the achievement of our strategic objectives. Negative publicity related to such acts or schemes could negatively impact our reputation, potentially causing a material adverse effect on our business,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risks associated with leased property, as most of our facilities are leased.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lease 36 of the facilities we operate pursuant to the Triple Net Leases. Termination of the AR PENN Master Lease, the 2023 Master Lease, or Pinnacle Master Lease could result in a default under our debt agreements and could have a material adverse effect on our business, financial condition, and results of operations. Moreover, as a lessee, we do not completely control the land and improvements underlying our operations, and our landlords under the Triple Net Leases could take certain actions to disrupt our rights in the facilities leased under the Triple Net Leases that are beyond our control. Also, proposed development projects for facilities leased under the Triple Net Leases generally require the approval of our landlords, and delays in obtaining, or failure to obtain, such approvals could adversely impact our results of operations. In addition, our Triple Net Leases have defined escalating lease payment provisions, which can adversely impact the profitability of those leased facilities. Should some of our leased facilities prove to be unprofitable, we could remain obligated for lease payments and other obligations under the Triple Net Leases in the event we cease operations at those locations. Further, there can be no assurance that we or our landlords will be able to comply with our respective obligations under the Triple Net Leases in the future. </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operations in several jurisdictions depend on development agreements, management agreements and/or leases with third parties and local governments that may not be renewed or the terms of a renewal may require significant fees or capital expenditure commitments.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in several jurisdictions depend on land leases and/or management and development agreements with third parties and local governments. If we, or if GLPI or VICI, in the case of leases pursuant to which we are the sub-lessee, are unable to renew these leases and agreements on satisfactory terms as they expire or if disputes arise regarding the terms of these agreements, our business may be disrupted and, in the event of disruptions in multiple jurisdictions, could have a material adverse effect on our business, financial condition, and results of operations. We may also be required to pay higher fees and/or incur additional capital expenditures to renew management agreements with third parties and local governments in our existing jurisdictions, or incur higher fees and/or capital expenditures than forecasted in connection with new management agreements with third parties and local governments as we expand into new jurisdictions.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third parties to provide services that are essential to the operation of our OSB and iCasino business, including geolocation, identity and age verification, payment processing, and sports data.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third parties to provide services that are essential to the operation of our online gaming business, including geolocation, identity and age verification, payment processing, and sports data systems. These services help ensure we comply with laws and regulations, process deposits and withdrawals made by our online users, and are provided information regarding schedules, results, performance, and outcomes of sporting events to determine when and how bets are settled. The software, systems and services provided by our third-party providers may contain errors or weaknesses, be compromised or experience outages, or otherwise not meet our expectations. A failure of such third-party systems to perform effectively, or any service interruption to those systems, could adversely affect our business and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Also, errors or failures by our payment processors and sports data providers could result in a failure to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rely on third-party suppliers to provide gaming equipment, semiconductor chips and other supplies for our business. Supply chain delays or disruptions could impact our ability to obtain these supplies from our key suppliers on acceptable terms or at all. Any suspension or delay in our suppliers’ ability to provide us adequate equipment or supplies, or in our ability to procure equipment or supplies from other sources in a timely manner or at all, could impair our ability to meet customer demand and therefore could have a material adverse effect on our business, prospects, financial condition or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any of our third-party service providers terminates its relationship with us, is unable to maintain necessary regulatory approvals, or refuses to renew its agreement with us on commercially reasonable terms, we would have to engage alternative service providers. We cannot be certain that we would be able to secure favorable terms from alternative service providers that are critical to the operation of our business or enter into alternative arrangements in a timely manner. Our business, financial condition, and results of operations could be adversely impacted by our inability to secure timely replacement services that are sufficient to support our online business on comparable terms.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 termination of our partnership with ESPN could negatively impact our business, reputation,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5, 2025, PENN and ESPN entered into the Termination Agreement to terminate the Sportsbook Agreement, effective December 1, 2025. The Sportsbook Agreement, provided an exclusive license to use the ESPN BET trademark in the U.S. and certain marketing, content integration and promotional services. In connection with the termination, we realigned our digital focus and rebranded the ESPN BET sportsbook across all online platforms in the U.S. to theScore Bet. The loss of our exclusive license and the transition from ESPN BET to theScore Bet could adversely affect our ability to attract new users to our offerings and to retain the business of existing users in a cost-effective manner. The rebranding and realignment of our digital focus led the Company to revise its future cash flow projections for the Interactive reporting unit which resulted in an impairment in our Interactive segment. There is no assurance that we will not incur future impairments or that we will realize the anticipated benefits of our rebranding initiative, and the termination of our partnership with ESPN could materially adversely affect our business, reputation,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The success of our business is largely dependent on the skill and experience of management and key personnel, and our ability to attract and retain talented team members.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success and competitive position of our retail operations, sports betting and iCasino operations, and media businesses are largely dependent upon, among other things, the efforts and skills of our senior executives and management team, and our ability to attract and retain talented team members.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compete with other companies both within and outside of our industry for talented personnel. If we cannot recruit, train, develop, and retain skilled and experienced personnel to our corporate, retail operations, sports betting and iCasino, and media businesses, we could experience increased employee turnover, decreased guest or user satisfaction, low morale, inefficiency, or internal control failures. Insufficient numbers of talented team members or the loss of senior executives or key personnel could also limit our ability to grow and expand our businesses. A shortage of frontline and skilled labor could also result in higher wages that would increase our labor costs, which could reduce our profits. Additionally, the increased ability of employees to work from home or in other remote work arrangements has impacted, and may continue to impact, our ability to attract and retain talented personnel.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Qualified individuals are in high demand, particularly in the technology and media industries, and we may incur significant costs to attract them. We also cannot assure that we will be able to retain our existing senior executive and key personnel or attract additional qualified senior executive and key personnel. We may use equity awards to attract talented employees, influencers and media personalities. If the value of our common stock declines significantly and remains depressed, that may prevent us from recruiting and retaining qualified talent. Our ability to attract, retain, and motivate employees, influencers and media personalities may also be adversely affected by stock price volatility.</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risks related to collective bargaining activity and strikes.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 meaningful number of team members at our properties are currently covered by collective bargaining agreements. Numerous collective bargaining agreements are typically subject to negotiation each year, and our ability in the past to resolve such negotiations does not mean that we will be able to resolve future negotiations without strikes, disruptions, or on terms that we consider reasonable. If relationships with our organized associates or the unions that represent them become adverse, then the properties we operate could experience labor disruptions such as strikes, lockouts, boycotts, and public demonstrations. Labor disputes and disruptions have in the past, and could in the future, result in adverse publicity and negatively affect operations and revenues at affected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labor regulation and the negotiation of new or existing collective bargaining agreements could lead to higher wage and benefit costs, changes in work rules that increase operating expenses and legal costs, and could impose limitations on our ability or the ability of our third-party property owners to take cost saving measures during economic downturns.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Labor unions are making a concerted effort to recruit more employees in the gaming industry, and we have experienced attempts by labor organizations to organize certain of our non-union employees. We cannot provide any assurance that we will not experience additional and successful union activity in the future. The impact of this union activity is undetermined and could negatively impact our results of operations. Increased unionization of our workforce, new labor legislation or changes in regulations could disrupt our operations, reduce our profitability or interfere with the ability of our management to focus on executing our business strategies.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 unable to protect, or may not be successful in protecting, our intellectual property rights.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upon our ability to develop new or improved technologies and products, and to successfully obtain or acquire proprietary or statutory protection for our intellectual property rights.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among other things, copyrights, trademarks, trade secrets, confidentiality procedures, and contractual provisions to protect our proprietary rights. While we enter license, confidentiality and non-disclosure agreements with our employees and vendors, consultants, users, potential users, and others to attempt to limit access to and distribution of proprietary and confidential information, it is possible that: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or all of our confidentiality and non-disclosure agreements will not be honored;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 parties will independently develop equivalent technology or misappropriate our technology or designs;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disputes will arise with our strategic partners, users or others concerning the ownership of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unauthorized disclosure or use of our intellectual property, including source code, know-how or trade secrets will occur;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contractual provisions may not be enforceable.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successful in protecting our intellectual property rights or that we will become aware of third-party infringements that might be occurring. Inability to protect our intellectual property rights could have a material adverse effect on our business,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commercial success depends upon us avoiding the infringement of intellectual property rights owned by others.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industries in which we compete have many participants that own, or claim to own, intellectual property, including participants that have been issued patents and may have filed patent applications or may obtain additional patents and proprietary rights for technologies similar to those used by us in our products. Some of these patents may grant very broad protection to the third-party owners. Patents can be issued very rapidly and there is often a great deal of secrecy surrounding pending patent applications. We cannot determine with certainty whether any existing third-party patents or the issuance of any new third-party patents would require us to alter our technologies, pay for licenses, challenge the validity or enforceability of the patents, or cease certain activities. Third parties may assert intellectual property infringement claims against us and against our partners and/or suppliers. We may be subject to these types of claims either directly or indirectly through indemnities assuming liability for these claims that we may provide to certain partners. There can be no assurance that our attempts to negotiate favorable intellectual property indemnities in favor of us with our suppliers for infringement of third-party intellectual property rights will be successful or that a supplier’s indemnity will cover all damages and losses suffered by us and our partners and other suppliers due to infringing products, or that we can secure a license, modification or replacement of a supplier’s products with non-infringing products that may otherwise mitigate such damages and losses.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competitors have, or are affiliated with companies that have, substantially greater resources than us, and these competitors may be able to sustain the costs of complex intellectual property infringement litigation to a greater degree and for longer periods of time than us. Regardless of whether third-party claims of infringement against us have any merit, these claims could adversely affect our business, financial condition and results of operations, including by subjecting us to costly litigation or royalty or licensing agreements, causing product or software delivery delays or stoppages, requiring us to cease distributing certain products or delivering certain services, or subjecting us to other business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being liable for potentially substantial damages relating to a patent or other intellectual property following an infringement action against us, we may be prohibited from developing or commercializing certain technologies or products unless we obtain a license from the holder of the patent or other applicable intellectual property rights, or purchase these rights. There can be no assurance that we will be able to obtain any such license or purchase the patent on commercially reasonable terms, or at all. If we do not obtain such a license, our business, financial condition, and results of operations could be materially adversely affected, and we could be required to cease related business operations in some markets and restructure our business to focus on continuing operations in other markets.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technology contains third-party open source software components.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contains software modules licensed to us under “open source” licenses from third-party sources. Use and distribution of open source software may entail greater risks than use of third-party commercial or proprietary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open source licenses contain requirements that we make the source code of our software, in which the open source software modules are used or incorporated into, publicly available for third parties to create modifications or derivative works, or grant other licenses to our intellectual property for free. These types of open source licenses are commonly known as “copyleft” licenses. If we combine our proprietary software with open source software subject to copyleft licenses,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or remove such copyleft software.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monitor our use of open source software to help avoid subjecting our technology to licensing conditions we do not intend, the law surrounding the use of open source software and open source licenses is in a state of evolution and the legal ramifications of such use remain uncertain in the U.S. and other countries. There is a risk that these open source licenses could be construed in a way that could impose unanticipated and undesirable conditions or restrictions on our ability to provide or distribute our technology. From time to time, there have been claims challenging the ownership of open source software against companies that incorporate open source software into their solutions. As a result, we could be subject to lawsuits by parties claiming ownership of what we believe to be open source software.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while we have processes for controlling our use of open source software in our technology, there is no assurance that such processes will be effective. If we are found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technology,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face disruption and other difficulties in integrating and managing acquired operations or other initiatives we have recently acquired, may develop, or may acquire in the future.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could face significant challenges in managing and integrating our expanded or combined operations and any other properties or operations we may develop or acquire, particularly in new competitive markets or business lines. The integration and management of operations that we develop or acquire may temporarily divert attention from our day-to-day business. In addition, development and integration of new information technology systems that may be required is costly and time-consuming. The process of integrating operations that we may acquire also could interrupt the activities of those businesses, which could have a material adverse effect on our business, financial condition, and results of operations. In addition, the development of new operations may involve regulatory, legal, and competitive risks, and, as it relates to property acquisitions, construction, and local opposition risks, as well as the risks attendant to potential third party relationships related to these development opportunities. In particular, local opposition can delay or increase the anticipated cost of a project, and, in projects where we partner with a third party, if we cannot reach agreement with such parties, or if our relationships otherwise deteriorate, we could face significant increased costs and delays. Finally, given the competitive nature of these types of limited license opportunities, litigation is possible.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that we will be able to manage the combined operations that we develop or acquire effectively or realize any of the anticipated benefits of our acquisitions or development projects. We also cannot assure that if acquisitions are completed, that the acquired businesses will generate returns consistent with our expectations. Our ability to achieve our objectives in connection with any acquisition we may consummate may be highly dependent on, among other things, our ability to retain the senior level management teams of such acquisition candidates. If, for any reason, we are unable to retain these management teams following such acquisitions or if we fail to attract new capable executives, our operations after consummation of such acquisitions could be materially adversely affected.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some or all of the above-described events could have a material adverse effect on our business, financial condition, and results of operations.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operate facilities that are located in areas that experience extreme weather conditions, which may increase in frequency and severity as a result of climate change.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and may continue to be adversely impacted by increases in the frequency, duration, and severity of extreme weather events and changes in precipitation and temperature. Extreme weather conditions may interrupt our operations and reduce the number of customers who visit our facilities in the affected areas. Our properties, including those in Colorado, Illinois, Indiana, Iowa, Kansas, Louisiana, Maine, Massachusetts, Mississippi, Missouri, Ohio, and Pennsylvania, are at risk of experiencing extreme weather conditions, including snowstorms, tornadoes, hurricanes or flooding. In the past, adverse weather conditions, potentially exacerbated by climate change, have interrupted our operations, damaged property, and reduced the number of customers who visit our facilities in an affected area. For example, we have experienced interrupted operations and property damage due to hurricanes in the areas around the Gulf of Mexico and due to certain snowstorms in the Midwest and Northeast. If any of our properties are damaged or there is a prolonged disruption at any of our properties due to natural disasters or other extreme weather events, our business, financial condition, and results of operations could be materially adversely affected.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a majority of our repair, clean-up, and lost business expenses have been covered by insurance in the past, there is no assurance that, given the increasing burdens on insurance companies from extreme weather events, we will be able to continue to obtain adequate insurance against these types of losses, or that our insurers in the future will be in a position to satisfy our claims.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retail casino gaming, sports betting, and iCasino operations rely heavily on technology services and an uninterrupted supply of electrical power. Any unscheduled disruption in our technology services or interruption in the supply of electrical power as a result of extreme weather, or otherwise, could result in an immediate, and possibly substantial, loss of revenues.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growth and success depend, in part, on the success of our strategic relationships with third parties.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relationships with sports leagues and teams, professional athletes and athlete organizations, advertisers, affiliates, and other third parties, in order to attract users to our properties and online sportsbook and iCasino offerings. These relationships, along with providers of online services, search engines, social media, directories and other websites and e-commerce businesses, direct consumers to our offerings. In addition, many of the parties with whom we have advertising arrangements provide advertising services to our competitors. While we believe there are other third parties that could drive users to our offerings, adding or transitioning to them may disrupt our business and increase our costs. If any of our existing or future relationships fail to provide services to us in accordance with the terms of our arrangement, or at all, and we are not able to find suitable alternatives, this could increase the cost to attract consumers and adversely impact our business, financial condition, and results of operations. In addition, the termination of strategic relationships with third parties, or negative claims or publicity involving us or such third parties, could harm our reputation and brand image, which could adversely affect our ability to attract and retain users to our properties and online sportsbook and iCasino offerings.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under the sports betting and iCasino laws of certain jurisdictions, sports betting and iCasino licenses are limited to a finite number of eligible entities, such as casinos, tribes or sports facilities or teams, who own or control a “skin” or “skins” under that jurisdiction’s law. A “skin” is a legally authorized license from a gaming regulatory authority to offer sports betting or iCasino services provided through such casinos, tribes or sports facilities or teams. The “skin” provides a market access opportunity for mobile operators to operate in the jurisdiction pending licensure and other required approvals by the jurisdiction’s gaming regulatory authority. In some of the jurisdictions in which we offer sports betting and iCasino, we currently rely on third parties for a “skin.” If we cannot establish, renew, or manage these relationships, our market access rights could terminate, and we would not be allowed to operate in those jurisdictions until we enter into new ones,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 growth of our Interactive segment will depend on our ability to attract and retain users, which may require investments in our online offerings, technology, and strategic marketing initiatives.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revenue growth in the future in our Interactive segment (inclusive of theScore Bet and Hollywood iCasino apps) will depend, in large part, upon our ability to attract new users to our offerings, retain existing users and reactivate inactive users in a cost-effective manner. Achieving growth may require us to engage in sophisticated and costly sales and marketing and promotional efforts. There can be no assurance that we will realize the anticipated benefits of our investments in technology, products, service offerings and marketing initiatives. If new or existing competitors offer more attractive offerings or engage in marketing initiatives that are better received by customers, we may lose users or users may decrease their spending on our offerings.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used and expect to continue to use a variety of free and paid marketing channels, in combination with compelling offers and exciting games to achieve our objectives. For paid marketing, we may leverage a broad array of advertising channels, including television, radio, sports teams, social media influencers (brand ambassadors), social media platforms, such as Facebook, Instagram, X and Snapchat, affiliates and paid and organic search, and other digital channels, such as mobile display. If the search engines on which we rely modify their algorithms, change their terms around online betting, if links to our apps or websites are not displayed prominently in online search results, if fewer users click through to the Apple App Store and Google Play Store or our websites, if our other digital marketing campaigns are not effective, or if the costs of attracting users using any of our current methods significantly increase, then our ability to efficiently attract new users could be reduced, our revenue could decline and our business, financial condition and results of operations could be harmed.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ability to both retain and increase the number of users of our offerings will depend on continued user adoption of theScore Bet and Hollywood iCasino apps, and online gaming in general. Growth in the online gaming industries and the level of demand for and market acceptance of our product offerings will be subject to a high degree of uncertainty. We cannot assure that consumer adoption of our product offerings will continue or exceed current growth rates, or that the industry will achieve more widespread acceptance.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as technological or regulatory standards change and we modify our platforms to comply with those standards, we may need users to take certain actions to continue playing, such as performing age verification checks or accepting new terms and conditions. Users may stop using our product offerings at any time, including if the quality of the user experience on our platforms, including our support capabilities in the event of a problem, does not meet their expectations or keep pace with the quality of the customer experience generally offered by competitive offerings.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follow the sports betting industry practice of restricting and managing betting limits at the individual customer level, with limits determined by customer profiles and acceptable enterprise risk; however, there is no guarantee that gaming regulatory authorities will continue to allow operators to follow such practices.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Similar to credit card companies managing risk by tailoring credit limits on a per-customer basis, it is customary for sports betting operators to institute unique betting limits for each customer based on various factors, including but not limited to, betting history, source of funds and wealth reviews, and operator risk tolerance for individual sports or sporting events. This practice is beneficial because it allows sports betting operators to manage risk without the need to place restrictive global betting limits on all customers. There is no guarantee that gaming regulatory authorities will continue to allow us to institute betting limits at the individual customer level, at our sole discretion, which may in turn adversely impact our ability to manage sports betting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extend credit to a portion of our customers who wager at our retail properties, and we may not be able to collect gaming receivables from our credit customers.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our gaming activities on a credit and cash basis at many of our properties, in accordance with applicable laws and regulations. Any such credit we extend is unsecured. Table games players typically are extended more credit than slot players, and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 the opinion of management, an extension of credit. These large receivables could have a significant impact on our business, financial condition and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certain foreign nations will enforce gaming debts directly and the assets in the U.S. of foreign debtors may be reached to satisfy a judgment, judgments on gaming debts from U.S. courts are not binding on the courts of many foreign nations.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face a number of challenges prior to opening new or upgraded gaming properties, launching iCasino and sports betting in new jurisdictions, or launching new iCasino or sports betting offerings.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assurance can be given that, when we endeavor to open new or upgraded retail gaming properties, expand sports betting or iCasino in new jurisdictions, or launch new sports betting or iCasino offerings, the expected timetables for opening or expanding such properties or offerings will be met in light of the uncertainties inherent in the development of the regulatory framework, construction and/or development, the licensing process, legislative action and litigation or that we will otherwise realize the anticipated benefits or return on investment. In addition, as we seek to launch sports betting or iCasino offerings in additional jurisdictions, we will need to hire additional qualified employees, such as software engineers, IT professionals, product managers and compliance personnel. Given the significant competition in this area, we may be unable to hire qualified candidates. Delays in opening new or upgraded properties or offerings, or expanding offerings in new jurisdictions, could lead to increased costs and delays or failures in realizing the anticipated benefits of our investments in such properties or offerings, and could have a material adverse effect on our business, financial condition, and results of operations.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Legal and Regulatory Risk Factors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face extensive regulation from gaming regulatory authorities.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owners and managers of retail casino gaming, iCasino, sports betting, video lottery, VGTs, and pari-mutuel wagering operations, we are subject to extensive state, provincial and local regulation. These gaming regulatory authorities have broad discretion, and may, for any reason set forth in the applicable legislation, rules and regulations, limit, condition, suspend, fail to renew or revoke a license or registration to conduct gaming operations or prevent us from owning the securities of any of our gaming subsidiaries or prevent another person from owning an equity interest in us. Gaming regulatory authorities have input into our operations, for instance, our hours of operation, the location or relocation of any of our properties, numbers and types of slot machines and table games, and the types of sports events or casino games we may offer as part of our sports betting and iCasino operations. Gaming regulatory authorities may not have extensive experience in the digital media industry, which may present unique challenges in regulating our business. Regulators may also levy substantial fines or penalties against us or our subsidiaries for violations of gaming laws or regulations, or against the people involved in violating such gaming laws or regulations, and/or seize our assets or the assets of our subsidiaries. Any of these events could have a material adverse effect on our business,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Regulations governing the conduct of gaming activities and the obligations of gaming companies in any jurisdiction in which we have or in the future may have gaming operations are subject to change and could impose additional operating, financial, competitive or other burdens on the way we conduct our business. In particular, certain areas of law governing new gaming activities, such as the federal, state, and provincial laws applicable to retail casino gaming, online casinos, and sports betting, are new or developing in light of emerging technologies. No assurance can be provided that government agencies will interpret or enforce new or developing areas of law consistently, predictably, or favorably. Moreover, legislation or regulation to prohibit, limit, or add burdens to increase taxes on our business may be introduced in the future in jurisdictions where gaming has been legalized. </w:t>
      </w:r>
    </w:p>
    <w:p>
      <w:pPr>
        <w:pStyle w:val="TextBody"/>
        <w:bidi w:val="0"/>
        <w:spacing w:before="0" w:after="20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may also be subject to new legislation related to responsible gaming or consumer protection, which could add restrictions on our marketing or operations or otherwise negatively impact our results of operation. In addition, from time to time, legislators and special interest groups have proposed legislation that would expand, restrict, or prevent gaming operations or which may otherwise adversely impact our operations in the jurisdictions in which we operate. Any expansion of gaming or restriction on or prohibition of our gaming operations or enactment of other adverse regulatory changes could have a material adverse effect on our business,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public and private issuances of securities and other transactions that we are party to also require the approval of some gaming regulatory authorities. We have demonstrated suitability to obtain and have obtained all governmental licenses, registrations, permits, and approvals necessary for our existing gaming and pari-mutuel properties and sports betting and iCasino operations. There can be no assurance that we will be able to retain and renew those existing licenses or demonstrate suitability to obtain any new licenses, registrations, permits, or approvals. Gaming regulatory authorities generally have broad powers with respect to licensing, and from time to time, under certain circumstances, may revoke, suspend, condition or limit our licenses. For example, on November 20, 2025, the Colorado Limited Gaming Control Commission added a condition to the Colorado gaming license held by one of our subsidiaries that provides that the Company shall not permit an investor to acquire, assume or exercise any control and/or influence over the Company unless and until the Commission has determined that such investor is found suitable under applicable Colorado gaming laws. In addition, the loss of a license, registration, permit or approval in one jurisdiction could trigger the loss of a license, registration, permit or approval or affect our eligibility for a license, registration, permit or approval in another jurisdiction. As we expand our gaming operations in our existing jurisdictions or to new jurisdictions, we may have to meet additional suitability requirements and obtain additional licenses, registrations, permits and approvals from gaming regulatory authorities in these jurisdictions. The approval process can be time-consuming and costly, and we cannot be sure that we will be successful. Furthermore, this risk is particularly pertinent to our sports betting and iCasino initiatives because regulations in this area are not as fully developed or established.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Gaming regulatory authorities generally can require that any record holder or beneficial owner of our securities file an application for a license or similar finding of suitability. If a gaming regulatory authority requires a record holder or beneficial owner of our securities to file a suitability application, the owner must generally apply for a finding of suitability within 30 days or at an earlier time prescribed by the gaming regulatory authority. The gaming regulatory authority also has the power to investigate such an owner’s suitability and the owner must pay all costs of the investigation. If the owner is found unsuitable or fails to apply when required to do so, then the owner may be required by law to dispose of our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directors, officers, key employees, joint venture partners, and vendors must also meet approval standards of certain gaming regulatory authorities. If gaming regulatory authorities were to find a person occupying any such position unsuitable, we may be required to sever our relationship with that person, joint venture partner or vendor. Gaming regulatory authorities may also conduct investigations into the conduct or associations of our directors, officers, key employees, joint venture partners or vendors to ensure compliance with applicable laws, regulations, and standards.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certain federal, state, provincial and other regulations.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certain federal, state, provincial, and local laws, regulations and ordinances that apply to businesses generally. The Bank Secrecy Act, enforced by the Financial Crimes Enforcement Network (“FinCEN”) of the U.S. Treasury Department, requires us to report currency transactions in excess of $10,000 occurring within a gaming day, including identification of the guest by name and social security number, to the IRS. This regulation also requires us to report certain suspicious activity, including any transaction that exceeds $5,000 that we know, suspect or have reason to believe involves funds from illegal activity or is designed to evade federal regulations or reporting requirements and to verify sources of funds, in response to which we have implemented Know Your Customer processes. Periodic audits by the IRS and our internal audit department assess compliance with the Bank Secrecy Act, and substantial penalties can be imposed against us if we fail to comply with this regulation. In recent years the U.S. Treasury Department has increased its focus on Bank Secrecy Act compliance throughout the gaming industry, and public comments by FinCEN suggest that casinos should obtain information on each customer’s sources of income. This could impact our ability to attract and retain casino guests. Further, since we deal with significant amounts of cash in our operations, we are subject to various reporting and anti-money laundering regulations. Any violation of anti-money laundering laws or regulations, or any accusations of money laundering or regulatory investigations into possible money laundering activities, by any of our properties, online gaming operations, employees, partners, affiliates, or customers could have a material adverse effect on our business, financial condition, and results of operations.</w:t>
      </w:r>
    </w:p>
    <w:p>
      <w:pPr>
        <w:pStyle w:val="TextBody"/>
        <w:bidi w:val="0"/>
        <w:spacing w:before="0" w:after="200"/>
        <w:ind w:left="0" w:right="0" w:firstLine="360"/>
        <w:jc w:val="left"/>
        <w:rPr/>
      </w:pPr>
      <w:r>
        <w:rPr/>
      </w:r>
    </w:p>
    <w:p>
      <w:pPr>
        <w:pStyle w:val="TextBody"/>
        <w:bidi w:val="0"/>
        <w:spacing w:before="0" w:after="20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riverboats on which we operate must also comply with certain federal and state laws and regulations with respect to boat design, on-board facilities, equipment, personnel, and safety. In addition, we are required to have third parties periodically inspect and certify all of our casino barges for stability and single compartment flooding integrity. The casino barges on which we operate also must meet local fire safety standards. We would incur additional costs if any of the gaming facilities on which we operate were not in compliance with one or more of these regulations.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a variety of other federal, state, and local laws and regulations, including those relating to zoning, construction, land use, employment, marketing, and advertising and the production, sale, and service of alcoholic beverages. If we are not in compliance with these laws and regulations or we are subject to a substantial penalty, or if there are significant changes to applicable laws and regulations, including as a result of executive orders, it could have a material adverse effect on our business, financial condition, and results of operations.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From time to time we may become involved in legal proceedings, and no assurance can be provided as to the outcome of these matters.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including as defendants in lawsuits relating to matters incidental to our business. The nature of our business subjects us to the risk of lawsuits filed by customers, past and present employees, competitors, business partners, and others in the ordinary course of business (particularly in the case of class actions). As with all litigation, no assurance can be provided as to the outcome of these matters and, in general, litigation can be expensive and time consuming. We may not be successful in these lawsuits, and, especially with increasing class action claims in our industry, litigation could result in costs, settlements, or damages that could adversely impact our business, financial condition, and results of operations.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State and local smoking restrictions have and may continue to negatively affect our business.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Legislation in various forms to ban or substantially curtail indoor tobacco smoking in public places has been enacted or introduced in many states and local jurisdictions, including several of the jurisdictions in which we operate. We believe the smoking restrictions have significantly impacted business volumes. If additional smoking restrictions are enacted within jurisdictions where we operate or seek to do business, our business, financial condition, and results of operations could be adversely affected. </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to consumer privacy laws could adversely affect our ability to market our products effectively and may require us to change our business practices or expend significant amounts on compliance with such laws.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direct marketing techniques, including email marketing, online advertising, and postal mailings in our business. Any further restrictions in laws such as the CAN-SPAM Act, the Telephone Consumer Protection Act, the Do-Not-Call-Implementation Act, applicable Federal Communications Commission telemarketing rules (including the declaratory ruling affirming the blocking of unwanted robocalls), the FTC Privacy Rule, Safeguards Rule, Consumer Report Information Disposal Rule, Telemarketing Sales Rule, Canada’s Anti-Spam Law and various U.S. state and Canadian provincial laws, or new federal, state or provincial laws on marketing and solicitation or international privacy, e-privacy, and anti-spam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certain of our products and services depend on the ability to use non-public personal, financial transaction, and or other information relating to patrons, which we may collect and or obtain from travel service providers or other companies with whom we have substantial relationships. To the extent that we collect, control, or process such information, federal, state, provincial and foreign privacy laws and regulations, including without limitation the California Consumer Privacy Act (including the amended California Privacy Rights Act), the EU’s General Data Protection Regulation, Ontario, Canada’s Freedom of Information and Protection of Privacy Act, and Canada’s Personal Information Protection and Electronic Documents Act, require us to make disclosures regarding our privacy and information sharing practices, safeguard and protect the privacy of such information, and, in some cases, provide patrons the opportunity to “opt out” of the use of their information for certain purposes, any of which could limit our ability to leverage existing and future databases of information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must comply with federal, state, provincial, and foreign requirements regarding notice and consent to obtain, use, share, transmit and store such information, including providing the opportunity and mechanisms to “opt out” from certain uses in some jurisdictions. Furthermore, we may face conflicting obligations arising from the potential concurrent application of laws of multiple jurisdictions. In the event that we are not able to reconcile such obligations, we may be required to change business practices or face liability or sanction.To the extent that we fail to comply with applicable consumer protection and data privacy laws, we may become subject to actions by regulatory authorities and/or individuals (including private right of action in some jurisdictions), which may result in the payment of fines or the imposition of other monetary or non-monetary penalties.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We may experience material increases to our taxes or the adoption of new taxes or the authorization of new or increased forms of gaming.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prospect of generating incremental revenue is one of the primary reasons that jurisdictions permit or expand legalized gaming. As a result, gaming companies are typically subject to revenue-based taxes and fees in addition to normal federal, state, provincial and local income taxes, and such taxes and fees are subject to increase at any time. We pay substantial taxes and fees with respect to our operations, and changes to taxes and fees in our existing jurisdictions could have a material impact on our profitability. From time-to-time, federal, state, provincial, and local legislators and officials have proposed changes in tax laws, or in the administration of such laws, affecting the gaming industry. Worsening economic conditions could intensify the efforts of state, provincial, and local governments to raise revenues through increases in gaming taxes, property taxes and/or by authorizing additional gaming properties each subject to payment of a new license fee. In addition, there is uncertainty regarding the regulatory and legal frameworks applicable to prediction markets, and developments in this area could result in changes to tax laws affecting the gaming industry. It is not possible to determine with certainty the likelihood of changes in tax laws or in the administration of such laws. Such changes, if adopted, could have a material adverse effect on our business, financial condition, and results of operations.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environmental laws and potential exposure to environmental liabilities.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various federal, state, and local environmental laws and regulations that govern our operations, including emissions and discharges into the environment, and the handling and disposal of hazardous and non-hazardous substances and wastes. Failure to comply with such laws and regulations could result in costs for corrective action, penalties or the imposition of other liabilities or restrictions. From time to time, we have incurred and are incurring costs and obligations for correcting environmental noncompliance matters. The extent of such potential conditions cannot be determined definitively. To date, none of these matters have had a material adverse effect on our business, financial condition, and results of operations; however, there can be no assurance that such matters will not have such an effect in the future.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are subject to laws and regulations that impose liability and clean-up responsibility for releases of other hazardous substances into the environment. Under certain of these laws and regulations, a current or previous owner or operator of the property may be liable for the costs of remediating contaminated soil or groundwater on or from its property, without regard to whether the owner or operator knew of, or caused, the contamination, as well as incur liability to third parties impacted by such contamination. The presence of contamination, or failure to remediate it properly, may adversely affect our ability to use, sell or rent property. Due to the contractual arrangements under the Triple Net Leases, we will generally be responsible for both past and future environmental liabilities associated with our gaming operations, despite the transfer of the ownership of the underlying real property. Furthermore, we are aware that there is or may have been soil or groundwater or other contamination at certain of our properties resulting from current or former operations. These environmental conditions may require remediation in isolated areas. The extent of such potential conditions cannot be definitively determined, and may result in additional expense in the event that additional or currently unknown conditions are detected.</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risks and costs related to climate change regulations.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become subject to legislation and regulation regarding climate change, and compliance with any new rules could be difficult, burdensome, and costly. Certain states have announced or adopted programs intended to stabilize and reduce greenhouse gas (“GHG”) emissions and, in the past, federal legislation has been proposed in Congress. Also, certain policymakers have adopted or are considering adopting rules or laws to require companies to provide significantly expanded climate-related disclosures. If such legislation is enacted, we could incur increased energy, environmental and other costs, and capital expenditures to comply with the limitations, as well as additional costs related to the implementation and reporting of significant additional internal controls processes and procedures regarding matters that have not been subject to such controls in the past. In addition, if such legislation is enacted but later significantly changed or repealed, we could incur costs related to compliance with the prior legislation without realizing the anticipated benefits. Unless and until legislation is enacted and its terms are known, we cannot reasonably or reliably estimate its impact on our business, financial condition, and results of operations. Further, regulation of GHG emissions may limit our customers’ ability to travel to our properties (e.g. as a result of increased fuel costs or restrictions on transport-related emissions).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Our Information Systems and Technology</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third-party mobile application distribution platforms or service providers do not perform adequately or terminate their relationships with us, our business may be disrupted or our costs may increase.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relationships with other third-party service providers. We rely upon third-party distribution platforms, including the Apple App Store and Google Play store, for distribution of our entertainment, media, and mobile sports betting and iCasino applications. As such, the promotion, distribution, and operation of our mobile applications are subject to the respective distribution platforms’ standard terms and policies, which are very broad and subject to frequent changes and interpretation. If Apple or Google choose to de-list any of our mobile applications, it could materially and adversely impact our business,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success of our Interactive segment depends in part on our relationships with other third-party service providers for hosting, content delivery, load balancing and protection against distributed denial-of-service attacks. If those providers do not perform adequately or terminate their relationship with us, our users may experience issues or interruptions with their experiences. We also rely on other software and services supplied by third parties, such as communications and internal software, and our business may be adversely affected to the extent such software and services do not meet our expectations, contain errors or vulnerabilities, are compromised or experience outages. Further, any negative publicity related to any of our third-party partners could adversely affect our reputation and brand.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incorporate technology from third parties throughout our business.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offerings could be severely limited and our business could be harmed.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If internet and other technology-based service providers experience service interruptions, our ability to conduct our business may be impaired.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technological and network infrastructure is provided by third parties, including internet service providers and other technology-based service providers. We require technology-based service providers to implement cyber-attack-resilient systems and processes. However, if internet service providers experience service interruptions, because of cyber-attacks, or due to an event causing an unusually high volume of internet use, communications over the internet may be interrupted and impair our ability to conduct our business. Internet service providers and other technology-based service providers may in the future roll out upgraded or new mobile or other telecommunications services, such as 5G or 6G services, which may not be successful and thus may impact the ability of our users to access our offerings in a timely fashion or at all. In addition, our ability to process transactions, both at our retail properties and online, depends on point-of-sale, payment processing, payment network and database systems. To prepare for system problems, we continuously seek to strengthen and enhance our current facilities and the capabilities of our system infrastructure and support. Nevertheless, there can be no assurance that these systems will continue to be able to meet the demand placed on us by our customers and the continued growth of the internet, the overall sports betting, and iCasino industry. Any difficulties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system failure as a result of reliance on third parties, such as hosting, network, software or hardware failure, or as a result of cyber-attacks, could cause a loss of our users’ property or personal information, or a delay or interruption in our online services and products and e-commerce services, including our ability to handle existing or increased traffic. Any such failure could result in a loss of anticipated revenue, interruptions to our offerings, cause us to incur significant legal, remediation and notification costs, degrade the customer experience, and cause users to lose confidence in our offerings, any of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third party cloud infrastructure services to deliver our offerings to users, and we have experienced, and expect in the future to experience, service interruptions, delays, and outages.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host our OSB and iCasino offerings and support our operations using third-party providers of cloud infrastructure services. We do not, and will not, have control over the operations of the facilities or infrastructure of the third-party service providers that we use. Such third-party facilities are vulnerable to damage or interruption from natural disasters, cybersecurity attacks, terrorist attacks, power outages and similar events or acts of misconduct. Our technology’s continuing and uninterrupted performance will be critical to our success and is dependent on the use of third-party cloud infrastructure services. We have experienced, and we expect that in the future we will experience, interruptions, delays, and outages in service and availability from these third-party service providers from time to time due to a variety of factors, including infrastructure changes, human or software errors, website hosting disruptions and capacity constraints. In addition, any changes in these third parties’ service levels may adversely affect our ability to meet the requirements of our users. Since our technology’s continuing and uninterrupted performance is critical to our success, sustained or repeated system failures would reduce the attractiveness of our offerings. It may become increasingly difficult to maintain and improve our performance, especially during peak usage times, as we expand and the usage of our offerings increases.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above circumstances or events may harm our reputation and brand, reduce the availability or usage of our technology, lead to a significant loss of revenue, increase our costs and impair our ability to attract new users, any of which could adversely affect our business, financial condition, and results of operations.</w:t>
      </w:r>
    </w:p>
    <w:p>
      <w:pPr>
        <w:pStyle w:val="TextBody"/>
        <w:bidi w:val="0"/>
        <w:spacing w:lineRule="auto" w:line="288" w:before="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Our information technology and other systems are subject to cybersecurity risk, including misappropriation of employee information, customer information, or other breaches of information security.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increasingly rely on information technology and other systems, including our own systems and those of service providers and third parties, to manage our business and employee data and maintain and transmit customers’ personal and financial information, payment settlements, payment funds transmissions, mailing lists, and reservations information. Our collection of such data is subject to extensive regulation by private groups, such as the payment card industry, as well as governmental authorities, including gaming regulatory authorities. Privacy regulations continue to evolve, and we have taken, and will continue to take, steps to comply by implementing processes designed to safeguard the confidential and personal information of our business, employees, and customers. In addition, our security measures are reviewed and evaluated regularly. However, our information and processes and those of our service providers and other third parties, including our contractors and contractors of our service providers and vendors, are subject to the ever-changing threat of compromised security, in the form of a risk of potential breach, system failure, computer virus, or unauthorized or fraudulent use by customers, company employees, company contractors and other third parties including employees and contractors of third-party vendors, and criminal use of credentials sold on the dark web. In recognition of these heightened risks, our Board and Audit Committee receive regular presentations and reports on material cybersecurity risks which might impact us. See Item 1C. Cybersecurity of this Annual Report on Form 10-K for additional detail regarding the programs, policies, and procedures we have in place to identify, prevent and detect any breaches, viruses, or other forms of unauthorized access. The steps we take to deter and mitigate the risks of attacks may not be successful, and any resulting compromise or loss of data or systems could adversely impact operations or regulatory compliance and could result in remedial expenses, fines, litigation, disclosures, and loss of reputation, potentially impacting our financial results. Further, as cyber-attacks continue to evolve, we may incur significant costs in our attempts to modify or enhance our protective measures or investigate or remediate any actual or perceived vulnerability. Increased instances of cyber-attacks may also have a negative reputational impact on us and our properties that may result in a loss of customer confidence and, as a result, may have a material adverse effect on our business, financial condition, and results of operations. Moreover, the rapid evolution and increased use of artificial intelligence technologies amplify these cybersecurity risks.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experienced attempts by unauthorized third parties to damage, exploit, disrupt or gain access to our networks, our products and services, consumer information, and our supporting infrastructure, including accessing user accounts by illicitly purchasing identification and password credentials on the dark web. While to date none of these incidents has had a material impact on us, we expect to continue to be targeted in the future. Any failure to prevent or mitigate security breaches or cyber risk could result in interruptions to the services we provide, degrade the user experience, and cause our users to lose confidence in our products and services. The unauthorized access, acquisition or disclosure of consumer information could compel us to comply with disparate breach notification laws and otherwise subject us to proceedings by governmental entities, including gaming regulatory authorities, or others, and substantial legal and financial liability. This could harm our business and reputation, disrupt our relationships with partners and diminish 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have begun using artificial intelligence, machine learning, data science and similar technologies in our business, and challenges with properly managing such technologies could result in reputational harm, competitive harm, and legal liability, and adversely affect our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begun using artificial intelligence (including generative artificial intelligence), machine learning, data science and similar technologies (collectively, “artificial intelligence”) in our technology and infrastructure, which may become more prominent in and important to our operations over time. Our competitors or other third parties may incorporate artificial intelligence in a similar or different manner and may do so more rapidly or more successfully than us, which could adversely affect our ability to compete effectively and our results of operations. Additionally, if the content, analyses, materials, software or recommendations that artificial intelligence produces or assists in producing are, or are alleged to be, infringing or otherwise violating of others’ rights (including intellectual property rights), or illegal, we may be subject to legal liability or our business, reputation, financial condition and results of operations may otherwise be adversely affected.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artificial intelligence can lead to unintended consequences, including the generation of outputs, such as “hallucinations,” that appear correct but are factually inaccurate, misleading or are otherwise flawed, which could harm our reputation and business. The content, analysis, materials, software, recommendations and other outputs produced by artificial intelligence may be subject to limited or no intellectual property or other proprietary protection. We may lose intellectual property and other proprietary rights in any data, content, confidential information, trade secrets or other materials that we provide as inputs to artificial intelligence technology. If we are unable to assert proprietary rights in such outputs or inputs against use by third parties, we may experience competitive harm, and our financial condition and results of operations may be adversely affected.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use of artificial intelligence may result in violations of applicable data security or data privacy laws, or in cybersecurity incidents that implicate the personal data of end customers, employees or other third parties, as well as potential gaming regulatory violations. Any such violation or cybersecurity incidents related to our use of artificial intelligence could result in legal liability or otherwise adversely affect our reputation and results of operations. If our use of artificial intelligence becomes controversial, we may experience brand or reputational harm or competitive harm. Also, artificial intelligence is subject to a dynamic and rapidly evolving legal and regulatory environment, the extent and scope of which may in many instances be uncertain and may vary (or conflict) across jurisdictions. Compliance with existing and potential government regulation of artificial intelligence may require significant resources, including to develop, test and maintain platforms, offerings, services, and features to help us implement and use artificial intelligence in accordance with applicable law, and to help minimize other potential adverse effects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1C.CYBERSECURITY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represents a critical component of the Company’s overall approach to risk management. The Company’s cybersecurity policies, standards, and practices are integrated into the Company’s enterprise risk management (“ERM”) approach, and cybersecurity risks are among the core enterprise risks that are subject to oversight by the Board. The Company’s cybersecurity policies, standards, and practices are intended to align with recognized frameworks established by the National Institute of Standards and Technology, the International Organization for Standardization, and other applicable industry standards. The Company generally approaches cybersecurity threats through a cross-functional, multilayered approach, with the specific goals of: (i) identifying, preventing, and mitigating cybersecurity threats to the Company; (ii) preserving the confidentiality, integrity, security, and availability of the information that we collect and store to use in our business; (iii) protecting the Company’s intellectual property; (iv) maintaining the confidence of our customers, clients, and business partners; and (v) providing appropriate public disclosure of cybersecurity risks, and incidents when required.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Consistent with overall ERM policies and practices, the Company’s cybersecurity program focuses on the following areas: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Vigilance:</w:t>
      </w:r>
      <w:r>
        <w:rPr>
          <w:color w:val="000000"/>
        </w:rPr>
        <w:t xml:space="preserve"> </w:t>
      </w:r>
      <w:r>
        <w:rPr>
          <w:rFonts w:ascii="Times New Roman;serif" w:hAnsi="Times New Roman;serif"/>
          <w:b w:val="false"/>
          <w:color w:val="000000"/>
          <w:sz w:val="20"/>
        </w:rPr>
        <w:t>The Company maintains a global presence, with cybersecurity threat operations functioning 24/7 with the specific goal of identifying, preventing, and mitigating cybersecurity threats and responding to cybersecurity incidents in accordance with our established incident response and recovery plans.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Systems Safeguards:</w:t>
      </w:r>
      <w:r>
        <w:rPr>
          <w:color w:val="000000"/>
        </w:rPr>
        <w:t xml:space="preserve"> </w:t>
      </w:r>
      <w:r>
        <w:rPr>
          <w:rFonts w:ascii="Times New Roman;serif" w:hAnsi="Times New Roman;serif"/>
          <w:b w:val="false"/>
          <w:color w:val="000000"/>
          <w:sz w:val="20"/>
        </w:rPr>
        <w:t>The Company deploys systems safeguards that are designed to protect the Company’s information systems from cybersecurity threats, including firewalls, intrusion prevention and detection systems, anti-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malware functionality and access controls, which are evaluated and improved through regular vulnerability assessments and cybersecurity threat intelligence.</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Collaboration:</w:t>
      </w:r>
      <w:r>
        <w:rPr>
          <w:color w:val="000000"/>
        </w:rPr>
        <w:t xml:space="preserve"> </w:t>
      </w:r>
      <w:r>
        <w:rPr>
          <w:rFonts w:ascii="Times New Roman;serif" w:hAnsi="Times New Roman;serif"/>
          <w:b w:val="false"/>
          <w:color w:val="000000"/>
          <w:sz w:val="20"/>
        </w:rPr>
        <w:t>The Company utilizes collaboration mechanisms established with public and private entities, including intelligence and enforcement agencies, industry groups and third-party service providers, to identify, assess and respond to cybersecurity risks.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Third-Party Risk Management:</w:t>
      </w:r>
      <w:r>
        <w:rPr>
          <w:color w:val="000000"/>
        </w:rPr>
        <w:t xml:space="preserve"> </w:t>
      </w:r>
      <w:r>
        <w:rPr>
          <w:rFonts w:ascii="Times New Roman;serif" w:hAnsi="Times New Roman;serif"/>
          <w:b w:val="false"/>
          <w:color w:val="000000"/>
          <w:sz w:val="20"/>
        </w:rPr>
        <w:t>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Training: </w:t>
      </w:r>
      <w:r>
        <w:rPr>
          <w:rFonts w:ascii="Times New Roman;serif" w:hAnsi="Times New Roman;serif"/>
          <w:b w:val="false"/>
          <w:color w:val="000000"/>
          <w:sz w:val="20"/>
        </w:rPr>
        <w:t>The Company provides training for personnel regarding cybersecurity threats, which is designed to reinforce the Company’s information security policies, standards, and practices. This training includes certain periodic and mandatory training for Company personnel regarding cybersecurity threats as well as the handling and processing of payment cards. All periodic and mandatory training is scaled to reflect the roles, responsibilities and information systems access of applicable personnel.</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Incident Response and Recovery Planning: </w:t>
      </w:r>
      <w:r>
        <w:rPr>
          <w:rFonts w:ascii="Times New Roman;serif" w:hAnsi="Times New Roman;serif"/>
          <w:b w:val="false"/>
          <w:color w:val="000000"/>
          <w:sz w:val="20"/>
        </w:rPr>
        <w:t>The Company has established and maintains comprehensive incident response and recovery plans that address the Company’s response to a cybersecurity incident and the recovery from a cybersecurity incident, and such plans are tested and evaluated on a regular basis.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Communication, Coordination and Disclosure: </w:t>
      </w:r>
      <w:r>
        <w:rPr>
          <w:rFonts w:ascii="Times New Roman;serif" w:hAnsi="Times New Roman;serif"/>
          <w:b w:val="false"/>
          <w:color w:val="000000"/>
          <w:sz w:val="20"/>
        </w:rPr>
        <w:t>The Company utilizes a cross-functional approach to address the risk from cybersecurity threats, involving management personnel from the Company’s technology, operations, legal, accounting, risk management, internal audit, and other key business functions, as well as the members of the Board and the Audit Committee of the Board in a dialogue regarding cybersecurity threats and incidents, while also implementing controls and procedures for the escalation of cybersecurity incidents pursuant to established thresholds designed to help ensure that decisions regarding the disclosure and reporting of such incidents can be made by management in a timely manner.</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Governance:</w:t>
      </w:r>
      <w:r>
        <w:rPr>
          <w:color w:val="000000"/>
        </w:rPr>
        <w:t xml:space="preserve"> </w:t>
      </w:r>
      <w:r>
        <w:rPr>
          <w:rFonts w:ascii="Times New Roman;serif" w:hAnsi="Times New Roman;serif"/>
          <w:b w:val="false"/>
          <w:color w:val="000000"/>
          <w:sz w:val="20"/>
        </w:rPr>
        <w:t>The Board’s oversight of cybersecurity risk management is supported by the Audit Committee, which regularly interacts with the Company’s ERM function, the Company’s Chief Technology Officer, other members of management, and relevant management committees and councils, including the Company’s Cyber Security Committee.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key part of the Company’s strategy for managing risks from cybersecurity threats is the assessment and testing of the Company’s processes and practices through auditing, assessments, tabletop exercises, threat modeling, vulnerability testing, and other exercises focused on evaluating the effectiveness of our cybersecurity measures. The Company engages third parties to perform assessments of our cybersecurity measures, including information security maturity assessments, audits, and independent reviews of our information security control environment and operating effectiveness. The results of such assessments, audits, and reviews are reported to the Company’s Cyber Security Committee, and when appropriate, the Audit Committee and the Board.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adjusts its cybersecurity policies, standards, processes, and practices as necessary based on the information provided by the assessments, audits, and reviews.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Cyber Security Committee, in coordination with the Board and Audit Committee, oversees the management of risks from cybersecurity threats, including the policies, standards, processes, and practices that the Company’s Chief Technology Officer and its Chief Information Security Officer, in coordination with the Company’s Cyber Security Committee, develop and implement to address risks from cybersecurity threats. The Board and the Audit Committee each receive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the Company’s peers and third parties. The Board and the Audit Committee are also informed of identified cybersecurity incidents that meet established reporting thresholds, as well as ongoing updates regarding each such incident until it has been addressed. The Board discusses the Company’s approach to cybersecurity risk management with the Company’s Chief Technology Officer, and, as necessary, the Company’s Chief Technology Officer meets with the Audit Committee to discuss cybersecurity risk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Technology Officer and its Chief Information Security Officer are members of the Company’s management that are principally responsible for overseeing the Company’s cybersecurity risk management program, in partnership with other business leaders across the Company. The Company’s Chief Technology Officer serves as Chair of the Company’s Cyber Security Committee and works in coordination with the other members of the Cyber Security Committee, which includes our Chief Technology Officer; Chief Information Security Officer; EVP, Chief Financial Officer; Chief Compliance Officer; Chief Accounting Officer; Chief Legal Officer; SVP of Operations; Deputy Chief Compliance Officer; SVP, Public Affairs; VP, Risk Management; VP, Internal Audit; and VP, Legal – Intellectual Property and Privacy, who also serves as the Company’s Privacy Compliance Officer and Data Protection Officer.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Technology Officer, Aaron LaBerge, has served in various roles in information technology for over 25 years, including more than 20 years at The Walt Disney Company. Mr. LaBerge most recently served as President &amp; Chief Technology Officer for Disney Entertainment and ESPN, where he was responsible for driving all technology and product development in support of the Walt Disney Company’s two media divisions and oversaw all cybersecurity functions, and prior to that he served as Executive Vice President and Chief Technology Officer for ESPN where he was also responsible for cybersecurity matters. Mr. LaBerge holds a B.A. in electrical and computer engineering from the University of South Carolina.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Information Security Officer, David Lingenfelter, has served in various roles in information technology and information security for over 25 years, including Security Risk Assessor, Security Policy Development, and Security Architect, as well as serving as Vice President of Information Security and Product Security Officer for large public companies. Mr. Lingenfelter has also contributed to the development and review of various security-related publications including the National Institute of Standards and Technology, the International Organization for Standardization, and the Cloud Security Alliance, has served in numerous roles on various cybersecurity-related advisory boards, and holds a B.S. in Electrical Engineering from Fairleigh Dickinson University.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Technology Officer and Chief Information Security Officer, in coordination with the Company’s Cyber Security Committee, work collaboratively across the Company to implement a program designed to protect the Company’s information systems from cybersecurity threats and designed to allow the Company to promptly respond to any cybersecurity incidents in accordance with the Company’s Security Incident Response Plan. To facilitate the success of this program, multidisciplinary teams throughout the Company are deployed to address cybersecurity threats and to respond to cybersecurity incidents in accordance with the Company’s incident response and recovery plans. Through the ongoing communications from these teams, the Chief Technology Officer, the Chief Information Security Officer, and the Company’s Cyber Security Committee monitor the prevention, detection, mitigation, and remediation of cybersecurity incidents in real time, and report such incidents to the Audit Committee when appropriate.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To date, we do not believe cybersecurity threats, including as a result of any previous cybersecurity incidents, have materially affected or are reasonably likely to materially affect the Company, including its business strategy, results of operations, or financial condition; however, we could experience a cybersecurity incident that materially affects us in the future. See </w:t>
      </w:r>
      <w:hyperlink w:anchor="ic1a494480e6146a1a6acab9187fe13be_61">
        <w:r>
          <w:rPr>
            <w:rStyle w:val="InternetLink"/>
            <w:rFonts w:ascii="Times New Roman;serif" w:hAnsi="Times New Roman;serif"/>
            <w:b w:val="false"/>
            <w:color w:val="0000FF"/>
            <w:sz w:val="20"/>
            <w:u w:val="single"/>
          </w:rPr>
          <w:t>Item 1A. Risk Factors, “Risks Related to our Information Systems and Technology”</w:t>
        </w:r>
      </w:hyperlink>
      <w:r>
        <w:rPr>
          <w:color w:val="000000"/>
        </w:rPr>
        <w:t xml:space="preserve"> </w:t>
      </w:r>
      <w:r>
        <w:rPr>
          <w:rFonts w:ascii="Times New Roman;serif" w:hAnsi="Times New Roman;serif"/>
          <w:b w:val="false"/>
          <w:color w:val="000000"/>
          <w:sz w:val="20"/>
        </w:rPr>
        <w:t>for additional discussion of cybersecurity risks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2.PROPERTIES</w:t>
      </w:r>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As detailed in </w:t>
      </w:r>
      <w:hyperlink w:anchor="ic1a494480e6146a1a6acab9187fe13be_28">
        <w:r>
          <w:rPr>
            <w:rStyle w:val="InternetLink"/>
            <w:rFonts w:ascii="Times New Roman;serif" w:hAnsi="Times New Roman;serif"/>
            <w:b w:val="false"/>
            <w:color w:val="0000FF"/>
            <w:sz w:val="20"/>
            <w:u w:val="single"/>
          </w:rPr>
          <w:t>Item 1. Business, “Operating Properties,”</w:t>
        </w:r>
      </w:hyperlink>
      <w:r>
        <w:rPr>
          <w:color w:val="000000"/>
        </w:rPr>
        <w:t xml:space="preserve"> </w:t>
      </w:r>
      <w:r>
        <w:rPr>
          <w:rFonts w:ascii="Times New Roman;serif" w:hAnsi="Times New Roman;serif"/>
          <w:b w:val="false"/>
          <w:color w:val="000000"/>
          <w:sz w:val="20"/>
        </w:rPr>
        <w:t>the majority of our facilities are subject to leases of the underlying real estate assets, which, among other things, includes the land underlying the facility and the buildings used in the operations of the casino and the hotel, if applicable. The following describes the principal real estate associated with our properties by reportable segment (all area metrics are approximate):</w:t>
      </w:r>
    </w:p>
    <w:tbl>
      <w:tblPr>
        <w:tblW w:w="10205" w:type="dxa"/>
        <w:jc w:val="center"/>
        <w:tblInd w:w="0" w:type="dxa"/>
        <w:tblLayout w:type="fixed"/>
        <w:tblCellMar>
          <w:top w:w="28" w:type="dxa"/>
          <w:left w:w="28" w:type="dxa"/>
          <w:bottom w:w="28" w:type="dxa"/>
          <w:right w:w="28" w:type="dxa"/>
        </w:tblCellMar>
      </w:tblPr>
      <w:tblGrid>
        <w:gridCol w:w="915"/>
        <w:gridCol w:w="661"/>
        <w:gridCol w:w="665"/>
        <w:gridCol w:w="431"/>
        <w:gridCol w:w="408"/>
        <w:gridCol w:w="359"/>
        <w:gridCol w:w="109"/>
        <w:gridCol w:w="109"/>
        <w:gridCol w:w="109"/>
        <w:gridCol w:w="566"/>
        <w:gridCol w:w="533"/>
        <w:gridCol w:w="535"/>
        <w:gridCol w:w="109"/>
        <w:gridCol w:w="109"/>
        <w:gridCol w:w="109"/>
        <w:gridCol w:w="287"/>
        <w:gridCol w:w="287"/>
        <w:gridCol w:w="288"/>
        <w:gridCol w:w="109"/>
        <w:gridCol w:w="109"/>
        <w:gridCol w:w="109"/>
        <w:gridCol w:w="536"/>
        <w:gridCol w:w="536"/>
        <w:gridCol w:w="538"/>
        <w:gridCol w:w="109"/>
        <w:gridCol w:w="109"/>
        <w:gridCol w:w="109"/>
        <w:gridCol w:w="287"/>
        <w:gridCol w:w="287"/>
        <w:gridCol w:w="288"/>
        <w:gridCol w:w="109"/>
        <w:gridCol w:w="109"/>
        <w:gridCol w:w="109"/>
        <w:gridCol w:w="163"/>
      </w:tblGrid>
      <w:tr>
        <w:trPr/>
        <w:tc>
          <w:tcPr>
            <w:tcW w:w="9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 of Owned Real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Acreage of 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 of Leased Real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Acreage of 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Northeast segment</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Ameristar East Chicago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East Chicago,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Bangor</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Bangor, 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at Charles Town Races</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Charles Town, WV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Columbus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Columbus,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at Greektown</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Detroit, 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Lawrenceburg</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Lawrenceburg,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Morgantown</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Morgantown,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at PENN National Race Course</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Grantville,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Land</w:t>
            </w:r>
            <w:r>
              <w:rPr>
                <w:color w:val="000000"/>
              </w:rPr>
              <w:t xml:space="preserve"> </w:t>
            </w:r>
            <w:r>
              <w:rPr>
                <w:rFonts w:ascii="Times New Roman;serif" w:hAnsi="Times New Roman;serif"/>
                <w:b w:val="false"/>
                <w:color w:val="000000"/>
                <w:sz w:val="9"/>
              </w:rPr>
              <w:t>(1)</w:t>
            </w:r>
            <w:r>
              <w:rPr>
                <w:rFonts w:ascii="Times New Roman;serif" w:hAnsi="Times New Roman;serif"/>
                <w:b w:val="false"/>
                <w:color w:val="000000"/>
                <w:sz w:val="14"/>
              </w:rPr>
              <w:t>, racetrack,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Perryville</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Perryville,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at The Meadows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Toledo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Toledo,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York</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York,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Gaming at Dayton Raceway</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Dayton,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Gaming at Mahoning Valley Race Course</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Youngstown,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Plainridge Park Casino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Plainville,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South segment</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1</w:t>
            </w:r>
            <w:r>
              <w:rPr>
                <w:rFonts w:ascii="Times New Roman;serif" w:hAnsi="Times New Roman;serif"/>
                <w:b w:val="false"/>
                <w:color w:val="000000"/>
                <w:sz w:val="9"/>
              </w:rPr>
              <w:t>st</w:t>
            </w:r>
            <w:r>
              <w:rPr>
                <w:color w:val="000000"/>
              </w:rPr>
              <w:t xml:space="preserve"> </w:t>
            </w:r>
            <w:r>
              <w:rPr>
                <w:rFonts w:ascii="Times New Roman;serif" w:hAnsi="Times New Roman;serif"/>
                <w:b w:val="false"/>
                <w:color w:val="000000"/>
                <w:sz w:val="14"/>
              </w:rPr>
              <w:t>Jackpot Casino</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Tunica,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Land </w:t>
            </w:r>
            <w:r>
              <w:rPr>
                <w:rFonts w:ascii="Times New Roman;serif" w:hAnsi="Times New Roman;serif"/>
                <w:b w:val="false"/>
                <w:color w:val="000000"/>
                <w:sz w:val="9"/>
              </w:rPr>
              <w:t>(2)</w:t>
            </w:r>
            <w:r>
              <w:rPr>
                <w:rFonts w:ascii="Times New Roman;serif" w:hAnsi="Times New Roman;serif"/>
                <w:b w:val="false"/>
                <w:color w:val="000000"/>
                <w:sz w:val="14"/>
              </w:rPr>
              <w:t>, buildings, boat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Ameristar Vicksburg</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Vicksburg,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Boomtown Biloxi</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Biloxi,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Land </w:t>
            </w:r>
            <w:r>
              <w:rPr>
                <w:rFonts w:ascii="Times New Roman;serif" w:hAnsi="Times New Roman;serif"/>
                <w:b w:val="false"/>
                <w:color w:val="000000"/>
                <w:sz w:val="9"/>
              </w:rPr>
              <w:t>(3)</w:t>
            </w:r>
            <w:r>
              <w:rPr>
                <w:rFonts w:ascii="Times New Roman;serif" w:hAnsi="Times New Roman;serif"/>
                <w:b w:val="false"/>
                <w:color w:val="000000"/>
                <w:sz w:val="14"/>
              </w:rPr>
              <w:t>, buildings, boat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Boomtown Bossier City</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Boomtown New Orleans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Gulf Coast</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Bay St. Louis,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Tunica</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Tunica,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L’Auberge Baton Rouge</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Baton Rouge,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Undeveloped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L’Auberge Lake Charles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Lake Charles,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Undeveloped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Margaritaville Resort Casino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West segment</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Ameristar Black Hawk</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 Hawk,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Cactus Petes and Horseshu</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Jackpot,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 Resort Spa Casino</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Henderson,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Zia Park Casino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Hobbs, 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Midwest segment</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Ameristar Council Bluffs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Council Bluffs,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boat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Argosy Casino Alton</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Alton,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Boat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Argosy Casino Riverside</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Riverside,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Land </w:t>
            </w:r>
            <w:r>
              <w:rPr>
                <w:rFonts w:ascii="Times New Roman;serif" w:hAnsi="Times New Roman;serif"/>
                <w:b w:val="false"/>
                <w:color w:val="000000"/>
                <w:sz w:val="9"/>
              </w:rPr>
              <w:t>(4)</w:t>
            </w:r>
            <w:r>
              <w:rPr>
                <w:rFonts w:ascii="Times New Roman;serif" w:hAnsi="Times New Roman;serif"/>
                <w:b w:val="false"/>
                <w:color w:val="000000"/>
                <w:sz w:val="14"/>
              </w:rPr>
              <w:t>, buildings, barge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Aurora</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Aurora,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Joliet</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Joliet,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at Kansas Speedway</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Kansas City, 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Hollywood Casino St. Louis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Maryland Heights,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buildings, barge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 City Casino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Land </w:t>
            </w:r>
            <w:r>
              <w:rPr>
                <w:rFonts w:ascii="Times New Roman;serif" w:hAnsi="Times New Roman;serif"/>
                <w:b w:val="false"/>
                <w:color w:val="000000"/>
                <w:sz w:val="9"/>
              </w:rPr>
              <w:t>(5)</w:t>
            </w:r>
            <w:r>
              <w:rPr>
                <w:rFonts w:ascii="Times New Roman;serif" w:hAnsi="Times New Roman;serif"/>
                <w:b w:val="false"/>
                <w:color w:val="000000"/>
                <w:sz w:val="14"/>
              </w:rPr>
              <w:t>, buildings, barge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Other</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Freehold Raceway </w:t>
            </w:r>
            <w:r>
              <w:rPr>
                <w:rFonts w:ascii="Times New Roman;serif" w:hAnsi="Times New Roman;serif"/>
                <w:b w:val="false"/>
                <w:color w:val="000000"/>
                <w:sz w:val="9"/>
              </w:rPr>
              <w:t>(6)</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Freehold,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Cherry Hill,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Undeveloped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Retama Park Racetrack</w:t>
            </w:r>
            <w:r>
              <w:rPr>
                <w:color w:val="000000"/>
              </w:rPr>
              <w:t xml:space="preserve"> </w:t>
            </w:r>
            <w:r>
              <w:rPr>
                <w:rFonts w:ascii="Times New Roman;serif" w:hAnsi="Times New Roman;serif"/>
                <w:b w:val="false"/>
                <w:color w:val="000000"/>
                <w:sz w:val="9"/>
              </w:rPr>
              <w:t>(7)</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Selma,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Undeveloped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Sam Houston Race Park</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Sanford-Orlando Kennel Club </w:t>
            </w:r>
            <w:r>
              <w:rPr>
                <w:rFonts w:ascii="Times New Roman;serif" w:hAnsi="Times New Roman;serif"/>
                <w:b w:val="false"/>
                <w:color w:val="000000"/>
                <w:sz w:val="9"/>
              </w:rPr>
              <w:t>(8)</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Longwood,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Valley Race Park</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Harlingen,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Land, racetrack,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(1)Of which, 393 acres is undeveloped land surrounding Hollywood Casino at PENN National Race Course.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(2)Of which, 53 acres is wetlands.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(3)Of which, 3 acres is subject to the AR PENN Master Lease.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(4)Of which, 38 acres is subject to the AR PENN Master Lease.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(5)Of which, 24 acres is land surrounding River City Casino reserved for community and recreational facilities.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(6)Operations at Freehold Raceway ceased on December 28,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(7)The land, racetrack, and buildings used in the operations of Retama Park Racetrack are owned by the City of Selma, Texas.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(8)Simulcast racing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lease office and warehouse space in various locations outside of our operating properties, including 6,575 square feet of office space in Las Vegas, Nevada; 41,016 square feet of executive office and warehouse space in Wyomissing, Pennsylvania; 79,812 square feet of office space in Toronto, Ontario; 32,212 square feet of office space in Cherry Hill, New Jersey; 29,609 square feet of office space in Philadelphia, Pennsylvania; 3,150 square feet of office space in Greenfield, Massachusetts; 4,016 square feet of office space in Gibraltar; and 10,000 square feet of warehouse space in Aurora, Illinois.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interests in the owned real property listed above (with the exception of the land, buildings, and racetracks, used in the operations of Hollywood Casino at Kansas Speedway, Retama Park Racetrack, and Hollywood Casino Morgantown, as well as the interests in the leased real property listed above) collateralize our obligations under our Amended Credit Facilities (as defined in the </w:t>
      </w:r>
      <w:hyperlink w:anchor="ic1a494480e6146a1a6acab9187fe13be_106">
        <w:r>
          <w:rPr>
            <w:rStyle w:val="InternetLink"/>
            <w:color w:val="0000FF"/>
            <w:u w:val="single"/>
          </w:rPr>
          <w:t>“</w:t>
        </w:r>
      </w:hyperlink>
      <w:hyperlink w:anchor="ic1a494480e6146a1a6acab9187fe13be_106">
        <w:r>
          <w:rPr>
            <w:rStyle w:val="InternetLink"/>
            <w:rFonts w:ascii="Times New Roman;serif" w:hAnsi="Times New Roman;serif"/>
            <w:b w:val="false"/>
            <w:color w:val="0000FF"/>
            <w:sz w:val="20"/>
            <w:u w:val="single"/>
          </w:rPr>
          <w:t>Liquidity and Capital Resources”</w:t>
        </w:r>
      </w:hyperlink>
      <w:r>
        <w:rPr>
          <w:color w:val="000000"/>
        </w:rPr>
        <w:t xml:space="preserve"> </w:t>
      </w:r>
      <w:r>
        <w:rPr>
          <w:rFonts w:ascii="Times New Roman;serif" w:hAnsi="Times New Roman;serif"/>
          <w:b w:val="false"/>
          <w:color w:val="000000"/>
          <w:sz w:val="20"/>
        </w:rPr>
        <w:t xml:space="preserve">section of </w:t>
      </w:r>
      <w:hyperlink w:anchor="ic1a494480e6146a1a6acab9187fe13be_88">
        <w:r>
          <w:rPr>
            <w:rStyle w:val="InternetLink"/>
            <w:color w:val="0000FF"/>
            <w:u w:val="single"/>
          </w:rPr>
          <w:t>“</w:t>
        </w:r>
      </w:hyperlink>
      <w:hyperlink w:anchor="ic1a494480e6146a1a6acab9187fe13be_88">
        <w:r>
          <w:rPr>
            <w:rStyle w:val="InternetLink"/>
            <w:rFonts w:ascii="Times New Roman;serif" w:hAnsi="Times New Roman;serif"/>
            <w:b w:val="false"/>
            <w:color w:val="0000FF"/>
            <w:sz w:val="20"/>
            <w:u w:val="single"/>
          </w:rPr>
          <w:t>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Company is subject to various legal and administrative proceedings from time to time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currently does not believe that the final outcome of these matters will have a material adverse effect on its results of operations, financial position or cash flows. For a discussion of risks related to legal proceedings and contingencies, refer to </w:t>
      </w:r>
      <w:hyperlink w:anchor="ic1a494480e6146a1a6acab9187fe13be_61">
        <w:r>
          <w:rPr>
            <w:rStyle w:val="InternetLink"/>
            <w:color w:val="0000FF"/>
            <w:u w:val="single"/>
          </w:rPr>
          <w:t>“</w:t>
        </w:r>
      </w:hyperlink>
      <w:hyperlink w:anchor="ic1a494480e6146a1a6acab9187fe13be_61">
        <w:r>
          <w:rPr>
            <w:rStyle w:val="InternetLink"/>
            <w:rFonts w:ascii="Times New Roman;serif" w:hAnsi="Times New Roman;serif"/>
            <w:b w:val="false"/>
            <w:color w:val="0000FF"/>
            <w:sz w:val="20"/>
            <w:u w:val="single"/>
          </w:rPr>
          <w:t>Item 1A. Risk Factors.”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SHAREHOLDER MATTERS, AND ISSUER PURCHASES OF EQUITY SECURITIES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Ticker Symbol and Holders of Record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quoted on the NASDAQ Global Select Market under the symbol “PENN.” As of February 23, 2026, there were 1,382 holders of record of our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our initial public offering of common stock in May 1994, 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the Company’s Board of Directors (the “Board”) and will depend upon, among other things, our future earnings, operations and capital requirements, our general financial condition and general business conditions. In addition, our Amended Credit Facilities and senior unsecured notes limit, among other things, our ability to pay dividends. Future financing arrangements may also prohibit the payment of dividends under certain conditions.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Sales of Unregistered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sold any equity securities during the year ended December 31, 2025 that were not previously disclosed in a quarterly report on Form 10-Q or a current report on Form 8-K that was filed during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Purchases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1, 2022, our Board authorized the repurchase of up to $750.0 million of our common stock from time to time on the open market or in privately negotiated transactions. The repurchase authorization expired on January 31, 2025. On December 6, 2022, our Board authorized an additional $750.0 million program for such repurchases, which expired on December 31, 2025 (the “December 2022 Authorization”). On October 30, 2025, the Board approved a new $750.0 million share repurchase program (the “October 2025 Authorization”), which commenced on January 1, 2026 and expires on December 31, 2028. Stock repurchases, if any, will be funded using our available liquidity. The timing and amount of stock repurchases, if any, will depend on a variety of factors, including but not limited to, market conditions and corporate and regulatory considerations. During the year ended December 31, 2025, the Company repurchased 20,090,831 shares of its common stock at an average price of $17.64 per share.</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number of shares of our common stock that we repurchased during the fourth quarter of the year ended December 31, 2025, the average price paid per share, the number of shares that we repurchased as part of our share repurchase program, and the approximate dollar value of shares that still could have been repurchased at the end of the applicable fiscal period pursuant to our share repurchase program:</w:t>
      </w:r>
    </w:p>
    <w:tbl>
      <w:tblPr>
        <w:tblW w:w="10205" w:type="dxa"/>
        <w:jc w:val="left"/>
        <w:tblInd w:w="0" w:type="dxa"/>
        <w:tblLayout w:type="fixed"/>
        <w:tblCellMar>
          <w:top w:w="28" w:type="dxa"/>
          <w:left w:w="28" w:type="dxa"/>
          <w:bottom w:w="28" w:type="dxa"/>
          <w:right w:w="28" w:type="dxa"/>
        </w:tblCellMar>
      </w:tblPr>
      <w:tblGrid>
        <w:gridCol w:w="672"/>
        <w:gridCol w:w="394"/>
        <w:gridCol w:w="398"/>
        <w:gridCol w:w="109"/>
        <w:gridCol w:w="109"/>
        <w:gridCol w:w="109"/>
        <w:gridCol w:w="662"/>
        <w:gridCol w:w="459"/>
        <w:gridCol w:w="460"/>
        <w:gridCol w:w="109"/>
        <w:gridCol w:w="109"/>
        <w:gridCol w:w="109"/>
        <w:gridCol w:w="272"/>
        <w:gridCol w:w="773"/>
        <w:gridCol w:w="151"/>
        <w:gridCol w:w="109"/>
        <w:gridCol w:w="109"/>
        <w:gridCol w:w="109"/>
        <w:gridCol w:w="867"/>
        <w:gridCol w:w="710"/>
        <w:gridCol w:w="712"/>
        <w:gridCol w:w="109"/>
        <w:gridCol w:w="109"/>
        <w:gridCol w:w="109"/>
        <w:gridCol w:w="508"/>
        <w:gridCol w:w="1446"/>
        <w:gridCol w:w="413"/>
      </w:tblGrid>
      <w:tr>
        <w:trPr/>
        <w:tc>
          <w:tcPr>
            <w:tcW w:w="6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Program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Maximum Dollar Value of Shares that May Yet Be Purchased Under the Plans or Program </w:t>
            </w:r>
            <w:r>
              <w:rPr>
                <w:rFonts w:ascii="Times New Roman;serif" w:hAnsi="Times New Roman;serif"/>
                <w:b/>
                <w:color w:val="000000"/>
                <w:sz w:val="12"/>
              </w:rPr>
              <w:t>(2)</w:t>
            </w:r>
          </w:p>
        </w:tc>
      </w:tr>
      <w:tr>
        <w:trPr/>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4,890,581 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4,876,200 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4,898,042 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4,876,200 </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14,381 and 7,461 shares withheld to pay taxes due upon the vesting of employee restricted stock for the months ended October 31, 2025 and November 30, 2025, respectively.</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(2)We initiated share repurchases under the December 2022 Authorization. Stock repurchases are funded using our available liquidity. The timing and amount of stock repurchases will depend on a variety of factors, including market conditions as well as corporate and regulatory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Performance Graph</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shareholder return for the Company's Common Stock since December 31, 2020 to the total returns of the S&amp;P 500 Index and the Russell 3000 Casino and Gambling Index. The comparative returns shown in the graph assumes the investment of $100 in the Company’s Common Stock, the S&amp;P 500 Index, and the Russell 3000 Casino and Gambling Index on December 31, 2020.</w:t>
      </w:r>
    </w:p>
    <w:p>
      <w:pPr>
        <w:pStyle w:val="TextBody"/>
        <w:bidi w:val="0"/>
        <w:spacing w:before="0" w:after="100"/>
        <w:jc w:val="center"/>
        <w:rPr/>
      </w:pPr>
      <w:r>
        <w:rPr/>
        <w:drawing>
          <wp:inline distT="0" distB="0" distL="0" distR="0">
            <wp:extent cx="6429375" cy="3810000"/>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6429375" cy="3810000"/>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706"/>
        <w:gridCol w:w="617"/>
        <w:gridCol w:w="62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0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 Ending December 31,</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PENN Entertainment,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Russell 3000 Casino and Gambling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A.Cumulative total return assumes reinvestment of all dividends paid during the measurement period.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B.The Company has not paid any cash dividends on its Common Stock during this period.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C.The index is reweighted daily using the market capitalization on the previous trading day.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D.If the last day of the applicable year is not a trading day, the preceding trading day is used.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E.Historical returns are not indicative of future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6.RESERVED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following discussion and analysis of financial condition, results of operations, liquidity and capital resources should be read in conjunction with, and is qualified in its entirety by, our Consolidated Financial Statements and the notes thereto, included in this Annual Report on Form 10-K, and other filings with the Securities and Exchange Commission. This management’s discussion and analysis of financial condition and results of operations includes discussion as of and for the year ended December 31, 2025 compared to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Discussion of our financial condition and results of operations as of and for the year ended </w:t>
      </w:r>
      <w:r>
        <w:rPr>
          <w:rFonts w:ascii="Times New Roman;serif" w:hAnsi="Times New Roman;serif"/>
          <w:b w:val="false"/>
          <w:color w:val="000000"/>
          <w:sz w:val="20"/>
          <w:shd w:fill="FFFFFF" w:val="clear"/>
        </w:rPr>
        <w:t>December 31, 2024</w:t>
      </w:r>
      <w:r>
        <w:rPr>
          <w:color w:val="000000"/>
        </w:rPr>
        <w:t xml:space="preserve"> </w:t>
      </w:r>
      <w:r>
        <w:rPr>
          <w:rFonts w:ascii="Times New Roman;serif" w:hAnsi="Times New Roman;serif"/>
          <w:b w:val="false"/>
          <w:color w:val="000000"/>
          <w:sz w:val="20"/>
        </w:rPr>
        <w:t xml:space="preserve">compared to December 31, 2023 can be found in our Annual Report on Form 10-K for the fiscal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filed with the Securities and Exchange Commission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PENN Entertainment, Inc., together with its subsidiaries (“PENN,” the “Company,” “we,” “our,” or “us”), operates in 28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33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and collectively referred to as the “Master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Realignment of Digital Strategy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6, 2025, PENN announced the mutual decision for an early termination (the “Termination Agreement”) of its Sportsbook Agreement for United States (“U.S.”) OSB with ESPN, Inc. and ESPN Enterprises Inc. (together, “ESPN”). Pursuant to the Termination Agreement, PENN’s exclusive right to use the ESPN BET trademark for OSB in the U.S. ended on December 1, 2025. As a result, we have realigned our digital focus to leverage the strength of our U.S. iCasino and Canadian operations, while continuing to use OSB to drive both the acquisition of customers with significant lifetime value and unique cross-sell opportunities across PENN’s retail and digital assets. On December 1, 2025, we rebranded our OSB offering in the U.S. to theScore Bet. We have operated theScore Bet brand in Ontario since 2022, and our OSB product in both the U.S. and Canada now leverages connectivity with the theScore media app, which has approximately 4 million monthly active users across North America. PENN’s iCasino forward approach has clear long-term alignment to our core business, which focuses on cross-sell opportunities across our ecosystem and enhanced connectivity to our PENN Play loyalty program. Our OSB offerings will continue to provide top of funnel acquisition and cross-sell opportunities for our Hollywood-branded iCasino, which will remain integrated into our OSB product in states where legal, in addition to serving as a standalone iCasino app.</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 Development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10, 2022, the Company announced its intent to pursue four new development projects, including the land-based relocations of Hollywood Casino Joliet (“Joliet”) and Hollywood Casino Aurora (“Aurora”), a second hotel tower at M Resort Spa Casino (“M Resort”), and a new hotel at Hollywood Casino Columbus (“Columbus”).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Subsequently, on February 21, 2023, as described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the Consolidated Financial Statements, the Company and GLPI entered into a master development agreement (the “Master Development Agreement”) related to these development projects.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Master Development Agreement provides that GLPI will fund (i) up to $225.0 million for the relocation of our riverboat casino and related developments with respect to Aurora (the “Aurora Project”); and (ii) upon our request, up to $130.0 million for the relocation of our riverboat casino and related developments with respect to Joliet (the “Joliet Project”), up to $150.0 million for the second hotel tower at M Resort (the “M Resort Project”), up to $70.0 million for the new hotel tower at Columbus (the “Columbus Project” and together with Joliet Project and M Resort Project, the “Other Development Projects,” and together with the Aurora Project, referred to as the “PENN Development Projects”), all within accordance with certain terms and conditions set forth in the Master Development Agreement. GLPI has committed up to $225.0 million in funding for the Aurora Project at a 7.75% cap rate, which we are required to draw and the funding will be structured as rent under the 2023 Master Lease (as described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the Consolidated Financial Statements). Rent within the 2023 Master Lease will also increase by a percentage, based on the then-current GLPI stock price, of any project funding received by PENN from GLPI for the Other Development Projects. The PENN Development Projects still under construction are all subject to necessary regulatory and other government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Joliet Project to relocate its riverboat casino operations to a new, state-of-the-art land-based facility opened on August 11, 2025. The best-in-class property features approximately 1,000 slots and 43 live table games, including high-limit slots and table games, a baccarat room, and a retail sportsbook. Its unique bars and restaurants include Sorellina by Giada De Laurentiis and Boulevard Food &amp; Drink Hall. Additional features of the new property include an approximately 10,000 square foot, all-ages event center with meeting areas, and approximately 1,330 parking spaces. On August 1, 2025, the Company received the full $130.0 million in committed funding from GLPI for the Joliet Project, resulting in a $10.1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Aurora Project to relocate its riverboat casino operations to a new, land-based facility is expected to open late in the second quarter of 2026. The land-based casino will feature roughly 1,200 gaming positions, approximately 220 guest rooms, a retail sportsbook, outdoor entertainment area, full-service spa, high-quality bars and restaurants, an approximately 12,000 square foot event center with meeting areas, and approximately 1,700 parking spaces. The Aurora Project included the transfer of certain parcels of land from the City of Aurora, and up to $50.0 million of the project will be funded by the city through a new bond issuance. As of February 25, 2026, we have neither requested nor received any funding from GLPI for the Aurora Project, while the Company has received $29.3 million from the City of Aurora.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second hotel tower at M Resort opened on December 1, 2025. The M Resort Project added 375 rooms to the Company’s property south of the Las Vegas Strip, bringing its total to 765 rooms and suites. Along with the rooms, the project includes expanded meeting space, updated amenities, and additional local partnerships. On November 3, 2025, the Company received the full $150.0 million in committed funding from GLPI for the M Resort Project, resulting in an $11.7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new hotel at Columbus is expected to open late in the second quarter of 2026. The hotel is expected to include 180 rooms, meeting space, an additional restaurant, and local partnerships and amenities. We did not request or receive any funding from GLPI for the Columbus Project, and GLPI’s funding commitment expired on December 31,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announced a development project to relocate its Ameristar Council Bluffs (“ACB”) riverboat casino operations to a new, land-based property to be rebranded as Hollywood Casino Council Bluffs (“HCCB”). Under the proposed plan, the new HCCB is expected to include roughly 125,000 square feet of new development with approximately 58,000 square feet of gaming space and more than 1,000 positions on a single level. The new facility will complement the existing retail sportsbook, 160-room hotel, and dining options in the landside portion of the current infrastructure. The project is anticipated to cost between $180.0 million and $200.0 million and is expected to open in late 2027 to early 2028. GLPI has committed to finance up to $150.0 million at a 7.1% cap rate, which may be structured at PENN’s option as either rent or a 5-year term loan that is prepayable at any time without penalty.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Strategic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portfolio of assets provides us with the benefit of geographically 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Our sports media assets and proprietary online sports betting and iCasino technology reinforce our strategy to continue evolving from the nation’s largest regional gaming operator to a best-in-class omni-channel provider of retail gaming, iCasino, and sports betting entertainment. Additionally, our iCasino forward strategy with long-term alignment to our core business will focus on cross-sell opportunities across our ecosystem and enhanced connectivity to our PENN Play loyalty program.</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and Competitive Environment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our properties operate in mature, competitive markets. We expect the majority of our future growth to come from our OSB and iCasino businesses; improvements, expansions, or relocations of our existing properties; entrance into new jurisdictions or verticals; expansions of gaming in existing jurisdictions; strategic investments and acquisitions; and cross-sell opportunities between our retail gaming, OSB, and iCasino businesses. Our portfolio is comprised largely of well-maintained regional gaming facilities, which has allowed us to develop what we believe to be a solid base for future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We continuously adjust operations, offerings, and cost structures to reflect changing economic conditions, as well as consumer demand and behaviors. We also continue to focus on technology enhancements and providing customers with additional gaming and entertainment experiences through our differentiated omni-channel strategy. We seek to grow our customer database and PENN Play</w:t>
      </w:r>
      <w:r>
        <w:rPr>
          <w:color w:val="000000"/>
        </w:rPr>
        <w:t xml:space="preserve"> </w:t>
      </w:r>
      <w:r>
        <w:rPr>
          <w:rFonts w:ascii="Times New Roman;serif" w:hAnsi="Times New Roman;serif"/>
          <w:b w:val="false"/>
          <w:color w:val="000000"/>
          <w:sz w:val="20"/>
        </w:rPr>
        <w:t>loyalty program through our iCasino and OSB businesses, the development of new properties, the expansion of existing properties and other business lines, and through partnerships with third-party partners, such as Shake Shack Inc., Ticketmaster Entertainment, LLC, Norwegian Cruise Line Holdings Ltd., Live Nation Entertainment, Inc., and Choice Hotels International, Inc. In addition, we believe that our online gaming offerings, combined with other strategic relationships we have, or may develop in the future, should enable us to acquire new customers, expand our player database, and provide additional revenue streams that enhance our omnichannel strategy.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historical horse racing gaming terminals, illegal slot machines and skill games, fantasy sports and third-party internet or mobile-based gaming platforms, including both legal and illegal iCasino and sports betting operations, and emerging prediction markets. See the </w:t>
      </w:r>
      <w:hyperlink w:anchor="ic1a494480e6146a1a6acab9187fe13be_100">
        <w:r>
          <w:rPr>
            <w:rStyle w:val="InternetLink"/>
            <w:color w:val="0000FF"/>
            <w:u w:val="single"/>
          </w:rPr>
          <w:t>“</w:t>
        </w:r>
      </w:hyperlink>
      <w:hyperlink w:anchor="ic1a494480e6146a1a6acab9187fe13be_100">
        <w:r>
          <w:rPr>
            <w:rStyle w:val="InternetLink"/>
            <w:rFonts w:ascii="Times New Roman;serif" w:hAnsi="Times New Roman;serif"/>
            <w:b w:val="false"/>
            <w:color w:val="0000FF"/>
            <w:sz w:val="20"/>
            <w:u w:val="single"/>
          </w:rPr>
          <w:t>Segment comparison of the years ended December 31, 2025 and 2024”</w:t>
        </w:r>
      </w:hyperlink>
      <w:r>
        <w:rPr>
          <w:color w:val="000000"/>
        </w:rPr>
        <w:t xml:space="preserve"> </w:t>
      </w:r>
      <w:r>
        <w:rPr>
          <w:rFonts w:ascii="Times New Roman;serif" w:hAnsi="Times New Roman;serif"/>
          <w:b w:val="false"/>
          <w:color w:val="000000"/>
          <w:sz w:val="20"/>
        </w:rPr>
        <w:t>section below for discussions on our results of operations by reportable segment.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Key Performance Indicators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actual or perceived weakened general economic conditions, such as recessions, inflation, rising interest rate environments, tight credit conditions, high unemployment levels, higher income taxes, low levels of consumer confidence, weakness in the housing market, high fuel or other transportation costs, global hostilities, political or social unrest, and the effects of pandemics.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revenues is gaming revenue, which is highly dependent upon the volume and spending levels of customers at our properties. Our gaming revenue is derived primarily from slot machines (which represented approximately 86%, 86%, and 85% of our gaming revenue in 2025, 2024, and 2023, respectively) and, to a lesser extent, table games, OSB, and iCasino. Aside from gaming revenue, our revenues are primarily derived from our hotel, dining, retail, commissions, program sales, admissions, concessions, and certain other ancillary activities, and our racing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gaming revenue are slot handle and table game drop, which are volume indicators, and “win” or “hold” percentage. Our typical property slot win percentage is in the range of approximately 5% to 11% of slot handle, and our typical table game hold percentage is in the range of approximately 12% to 30% of table game drop.</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high-value play, which can lead to volatility in hold percentages. Therefore, changes in table game hold percentages do not typically have a material impact to our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online gaming revenue, including OSB and iCasino, are handle, which is a volume indicator, and “win” or “hold” percentage. Our OSB win percentage is in the range of approximately 4.6% to 9.8% of online handle and our iCasino win percentage is in the range of approximately 1.6% to 5.8% of online handle.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online gaming, customers deposit cash into their online accounts for use in OSB and iCasino play. Liabilities are recognized for online player account funds that have not been withdrawn and for wagers that have been placed on events that have not yet occurred. Online sportsbook handle is the gross amount wagered during a given period. The win or hold percentage is the net amount of gaming wins and losses, with liabilities recognized for any bonus funds deposited into player accounts. Given that OSB wagers are made based on the outcomes of future sporting events, the win or hold percentage can vary based on the bet type (i.e., straight wagers vs. parlay wagers). Online slot handle is the gross amount wagered during a given period. The win or hold percentage is the net amount of gaming wins and losses, with liabilities recognized for accruals related to the anticipated payout of online progressive jackpots. Given the stability in our online slot hold percentages on a historical basis, we have not experienced significant impacts to the results of our operations or cash flows from changes in these percentages. Online table game hold is the amount of handle that is retained and recorded as gaming revenue. Our online table game hold percentages are fairly stable as we do not regularly experience high-value online play, which can lead to volatility in hold percentages. Given the stability in our online table game hold percentages on a historical basis, we have not experienced significant impacts to the results of our operations or cash flows from changes in these percentages.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normal operating conditions, our properties generate significant operating cash flow since most of our revenue is cash-based from slot machines and table games. Our business is capital intensive, and we rely on cash flow from our properties to generate sufficient cash to satisfy our obligations under the Triple Net Leases (as defined in </w:t>
      </w:r>
      <w:hyperlink w:anchor="ic1a494480e6146a1a6acab9187fe13be_106">
        <w:r>
          <w:rPr>
            <w:rStyle w:val="InternetLink"/>
            <w:color w:val="0000FF"/>
            <w:u w:val="single"/>
          </w:rPr>
          <w:t>“</w:t>
        </w:r>
      </w:hyperlink>
      <w:hyperlink w:anchor="ic1a494480e6146a1a6acab9187fe13be_106">
        <w:r>
          <w:rPr>
            <w:rStyle w:val="InternetLink"/>
            <w:rFonts w:ascii="Times New Roman;serif" w:hAnsi="Times New Roman;serif"/>
            <w:b w:val="false"/>
            <w:color w:val="0000FF"/>
            <w:sz w:val="20"/>
            <w:u w:val="single"/>
          </w:rPr>
          <w:t>Liquidity and Capital Resources”</w:t>
        </w:r>
      </w:hyperlink>
      <w:r>
        <w:rPr>
          <w:rFonts w:ascii="Times New Roman;serif" w:hAnsi="Times New Roman;serif"/>
          <w:b w:val="false"/>
          <w:color w:val="000000"/>
          <w:sz w:val="20"/>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hyperlink w:anchor="ic1a494480e6146a1a6acab9187fe13be_106">
        <w:r>
          <w:rPr>
            <w:rStyle w:val="InternetLink"/>
            <w:color w:val="0000FF"/>
            <w:u w:val="single"/>
          </w:rPr>
          <w:t>“</w:t>
        </w:r>
      </w:hyperlink>
      <w:hyperlink w:anchor="ic1a494480e6146a1a6acab9187fe13be_106">
        <w:r>
          <w:rPr>
            <w:rStyle w:val="InternetLink"/>
            <w:rFonts w:ascii="Times New Roman;serif" w:hAnsi="Times New Roman;serif"/>
            <w:b w:val="false"/>
            <w:color w:val="0000FF"/>
            <w:sz w:val="20"/>
            <w:u w:val="single"/>
          </w:rPr>
          <w:t>Liquidity and Capital Resources”</w:t>
        </w:r>
      </w:hyperlink>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have five reportable segments: Northeast, South, West, Midwest, and Interactive. 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betting, media, and the operating results of Barstool Sports, Inc. (“Barstool” or “Barstool Sports”) subsequent to the Barstool Acquisition on February 17, 2023 and prior to the Barstool divestiture on August 8, 2023 (as defined and discussed in </w:t>
      </w:r>
      <w:hyperlink w:anchor="ic1a494480e6146a1a6acab9187fe13be_166">
        <w:r>
          <w:rPr>
            <w:rStyle w:val="InternetLink"/>
            <w:rFonts w:ascii="Times New Roman;serif" w:hAnsi="Times New Roman;serif"/>
            <w:b w:val="false"/>
            <w:color w:val="0000FF"/>
            <w:sz w:val="20"/>
            <w:u w:val="single"/>
          </w:rPr>
          <w:t>Note 5, “Acquisitions and Dispositions”</w:t>
        </w:r>
      </w:hyperlink>
      <w:r>
        <w:rPr>
          <w:color w:val="000000"/>
        </w:rPr>
        <w:t xml:space="preserve"> </w:t>
      </w:r>
      <w:r>
        <w:rPr>
          <w:rFonts w:ascii="Times New Roman;serif" w:hAnsi="Times New Roman;serif"/>
          <w:b w:val="false"/>
          <w:color w:val="000000"/>
          <w:sz w:val="20"/>
          <w:shd w:fill="FFFFFF" w:val="clear"/>
        </w:rPr>
        <w:t>in the notes to our Consolidated Financial Statements</w:t>
      </w:r>
      <w:r>
        <w:rPr>
          <w:rFonts w:ascii="Times New Roman;serif" w:hAnsi="Times New Roman;serif"/>
          <w:b w:val="false"/>
          <w:color w:val="000000"/>
          <w:sz w:val="20"/>
        </w:rPr>
        <w: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For a listing of our gaming properties and VGT operations included in each reportable segment, see </w:t>
      </w:r>
      <w:hyperlink w:anchor="ic1a494480e6146a1a6acab9187fe13be_148">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in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The following table highlights our revenues, reportable segment revenues, net loss, Consolidated Adjusted EBITDA, and Segment Adjusted EBITDAR. Such segment reporting is consistent with how we measure our business and allocate resources internally. We consider net loss to be the most directly comparable financial measure calculated in accordance with generally accepted accounting principles in the United States (“GAAP”) to Consolidated Adjusted EBITDA, which is a non-GAAP financial measure. Refer to </w:t>
      </w:r>
      <w:hyperlink w:anchor="ic1a494480e6146a1a6acab9187fe13be_1984">
        <w:r>
          <w:rPr>
            <w:rStyle w:val="InternetLink"/>
            <w:color w:val="0000FF"/>
            <w:u w:val="single"/>
          </w:rPr>
          <w:t>“</w:t>
        </w:r>
      </w:hyperlink>
      <w:hyperlink w:anchor="ic1a494480e6146a1a6acab9187fe13be_1984">
        <w:r>
          <w:rPr>
            <w:rStyle w:val="InternetLink"/>
            <w:rFonts w:ascii="Times New Roman;serif" w:hAnsi="Times New Roman;serif"/>
            <w:b w:val="false"/>
            <w:color w:val="0000FF"/>
            <w:sz w:val="20"/>
            <w:u w:val="single"/>
          </w:rPr>
          <w:t>Reportable Segment Measures</w:t>
        </w:r>
      </w:hyperlink>
      <w:r>
        <w:rPr>
          <w:color w:val="000000"/>
        </w:rPr>
        <w:t xml:space="preserve">” </w:t>
      </w:r>
      <w:r>
        <w:rPr>
          <w:rFonts w:ascii="Times New Roman;serif" w:hAnsi="Times New Roman;serif"/>
          <w:b w:val="false"/>
          <w:color w:val="000000"/>
          <w:sz w:val="20"/>
        </w:rPr>
        <w:t xml:space="preserve">below for the definition of Segment Adjusted EBITDAR. Refer to </w:t>
      </w:r>
      <w:hyperlink w:anchor="ic1a494480e6146a1a6acab9187fe13be_103">
        <w:r>
          <w:rPr>
            <w:rStyle w:val="InternetLink"/>
            <w:color w:val="0000FF"/>
            <w:u w:val="single"/>
          </w:rPr>
          <w:t>“</w:t>
        </w:r>
      </w:hyperlink>
      <w:hyperlink w:anchor="ic1a494480e6146a1a6acab9187fe13be_103">
        <w:r>
          <w:rPr>
            <w:rStyle w:val="InternetLink"/>
            <w:rFonts w:ascii="Times New Roman;serif" w:hAnsi="Times New Roman;serif"/>
            <w:b w:val="false"/>
            <w:color w:val="0000FF"/>
            <w:sz w:val="20"/>
            <w:u w:val="single"/>
          </w:rPr>
          <w:t>Non-GAAP Financial Measure”</w:t>
        </w:r>
      </w:hyperlink>
      <w:r>
        <w:rPr>
          <w:color w:val="000000"/>
        </w:rPr>
        <w:t xml:space="preserve"> </w:t>
      </w:r>
      <w:r>
        <w:rPr>
          <w:rFonts w:ascii="Times New Roman;serif" w:hAnsi="Times New Roman;serif"/>
          <w:b w:val="false"/>
          <w:color w:val="000000"/>
          <w:sz w:val="20"/>
        </w:rPr>
        <w:t>below for the definition of Consolidated Adjusted EBITDA as well as a reconciliation of net loss to Consolidated Adjusted EBITDA.</w:t>
      </w:r>
    </w:p>
    <w:tbl>
      <w:tblPr>
        <w:tblW w:w="8970" w:type="dxa"/>
        <w:jc w:val="left"/>
        <w:tblInd w:w="0" w:type="dxa"/>
        <w:tblLayout w:type="fixed"/>
        <w:tblCellMar>
          <w:top w:w="28" w:type="dxa"/>
          <w:left w:w="28" w:type="dxa"/>
          <w:bottom w:w="28" w:type="dxa"/>
          <w:right w:w="28" w:type="dxa"/>
        </w:tblCellMar>
      </w:tblPr>
      <w:tblGrid>
        <w:gridCol w:w="1761"/>
        <w:gridCol w:w="1546"/>
        <w:gridCol w:w="1553"/>
        <w:gridCol w:w="312"/>
        <w:gridCol w:w="360"/>
        <w:gridCol w:w="361"/>
        <w:gridCol w:w="161"/>
        <w:gridCol w:w="161"/>
        <w:gridCol w:w="161"/>
        <w:gridCol w:w="312"/>
        <w:gridCol w:w="360"/>
        <w:gridCol w:w="361"/>
        <w:gridCol w:w="161"/>
        <w:gridCol w:w="161"/>
        <w:gridCol w:w="161"/>
        <w:gridCol w:w="312"/>
        <w:gridCol w:w="317"/>
        <w:gridCol w:w="449"/>
      </w:tblGrid>
      <w:tr>
        <w:trPr/>
        <w:tc>
          <w:tcPr>
            <w:tcW w:w="176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1,216.4</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eliminations </w:t>
            </w:r>
            <w:r>
              <w:rPr>
                <w:rFonts w:ascii="Times New Roman;serif" w:hAnsi="Times New Roman;serif"/>
                <w:b w:val="false"/>
                <w:color w:val="000000"/>
                <w:sz w:val="13"/>
              </w:rPr>
              <w:t>(2)</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6,362.9</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(3)</w:t>
            </w:r>
            <w:r>
              <w:rPr>
                <w:rFonts w:ascii="Times New Roman;serif" w:hAnsi="Times New Roman;serif"/>
                <w:b/>
                <w:color w:val="000000"/>
                <w:sz w:val="20"/>
              </w:rPr>
              <w:t>:</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 expense associated with triple net operating leases</w:t>
            </w:r>
            <w:r>
              <w:rPr>
                <w:color w:val="000000"/>
              </w:rPr>
              <w:t xml:space="preserve"> </w:t>
            </w:r>
            <w:r>
              <w:rPr>
                <w:rFonts w:ascii="Times New Roman;serif" w:hAnsi="Times New Roman;serif"/>
                <w:b w:val="false"/>
                <w:color w:val="000000"/>
                <w:sz w:val="13"/>
              </w:rPr>
              <w:t>(4)</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Consolidated Adjusted EBITDA </w:t>
            </w:r>
            <w:r>
              <w:rPr>
                <w:rFonts w:ascii="Times New Roman;serif" w:hAnsi="Times New Roman;serif"/>
                <w:b/>
                <w:color w:val="000000"/>
                <w:sz w:val="13"/>
              </w:rPr>
              <w:t>(5)</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Other category, included in the tables to reconcile the segment information to the consolidated information, consists of the Company’s stand-alone racing operations, namely Sanford-Orlando Kennel Club, Sam Houston and Valley Race Park, the Company’s joint venture interest in Freehold Raceway (which ceased operations on December 28, 2024),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which consists of certain expenses, such as: payroll, professional fees, travel expenses, and other general and administrative expenses that do not directly relate to or have not otherwise been allocated. Corporate overhead was $134.8 million, $104.8 million, and $106.7 million for the years ended December 31, 2025, 2024, and 2023, respectively. Corporate overhead for the year ended December 31, 2025 includes $22.4 million of legal and advisory costs related to activist activity in connection with the Company’s 2025 annual meeting of shareholders held on June 17, 2025 (the “2025 Annual Meeting”).</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(3)See definition of “Segment Adjusted EBITDAR” within the “Reportable Segment Measures” section below.</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(4)</w:t>
      </w:r>
      <w:r>
        <w:rPr>
          <w:rFonts w:ascii="Times New Roman;serif" w:hAnsi="Times New Roman;serif"/>
          <w:b w:val="false"/>
          <w:color w:val="000000"/>
          <w:sz w:val="16"/>
        </w:rPr>
        <w:t>Pertains to the following operating leases: (i) AR PENN Master Lease; (ii) 2023 Master Lease; (iii) Margaritaville Lease (for the period January 1, 2023 to December 3, 2025); (iv) Greektown Lease (for the period January 1, 2023 to December 3, 2025); and (v) VICI Master Lease (beginning December 4, 2025).</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(5)See definition of Consolidated Adjusted EBITDA within the </w:t>
      </w:r>
      <w:hyperlink w:anchor="ic1a494480e6146a1a6acab9187fe13be_103">
        <w:r>
          <w:rPr>
            <w:rStyle w:val="InternetLink"/>
            <w:color w:val="0000FF"/>
            <w:u w:val="single"/>
          </w:rPr>
          <w:t>“</w:t>
        </w:r>
      </w:hyperlink>
      <w:hyperlink w:anchor="ic1a494480e6146a1a6acab9187fe13be_103">
        <w:r>
          <w:rPr>
            <w:rStyle w:val="InternetLink"/>
            <w:rFonts w:ascii="Times New Roman;serif" w:hAnsi="Times New Roman;serif"/>
            <w:b w:val="false"/>
            <w:color w:val="0000FF"/>
            <w:sz w:val="16"/>
            <w:u w:val="single"/>
          </w:rPr>
          <w:t>N</w:t>
        </w:r>
      </w:hyperlink>
      <w:hyperlink w:anchor="ic1a494480e6146a1a6acab9187fe13be_103">
        <w:r>
          <w:rPr>
            <w:rStyle w:val="InternetLink"/>
          </w:rPr>
          <w:t>on-GAAP Financial Measure”</w:t>
        </w:r>
      </w:hyperlink>
      <w:r>
        <w:rPr>
          <w:color w:val="000000"/>
        </w:rPr>
        <w:t xml:space="preserve"> </w:t>
      </w:r>
      <w:r>
        <w:rPr>
          <w:rFonts w:ascii="Times New Roman;serif" w:hAnsi="Times New Roman;serif"/>
          <w:b w:val="false"/>
          <w:color w:val="000000"/>
          <w:sz w:val="16"/>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Consolidated comparison of the years ended December 31,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revenues:</w:t>
      </w:r>
    </w:p>
    <w:tbl>
      <w:tblPr>
        <w:tblW w:w="10205" w:type="dxa"/>
        <w:jc w:val="left"/>
        <w:tblInd w:w="0" w:type="dxa"/>
        <w:tblLayout w:type="fixed"/>
        <w:tblCellMar>
          <w:top w:w="28" w:type="dxa"/>
          <w:left w:w="28" w:type="dxa"/>
          <w:bottom w:w="28" w:type="dxa"/>
          <w:right w:w="28" w:type="dxa"/>
        </w:tblCellMar>
      </w:tblPr>
      <w:tblGrid>
        <w:gridCol w:w="577"/>
        <w:gridCol w:w="334"/>
        <w:gridCol w:w="33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24"/>
        <w:gridCol w:w="655"/>
        <w:gridCol w:w="115"/>
        <w:gridCol w:w="109"/>
        <w:gridCol w:w="109"/>
        <w:gridCol w:w="109"/>
        <w:gridCol w:w="224"/>
        <w:gridCol w:w="655"/>
        <w:gridCol w:w="115"/>
        <w:gridCol w:w="109"/>
        <w:gridCol w:w="109"/>
        <w:gridCol w:w="109"/>
        <w:gridCol w:w="280"/>
        <w:gridCol w:w="239"/>
        <w:gridCol w:w="366"/>
        <w:gridCol w:w="109"/>
        <w:gridCol w:w="109"/>
        <w:gridCol w:w="109"/>
        <w:gridCol w:w="265"/>
        <w:gridCol w:w="175"/>
        <w:gridCol w:w="425"/>
      </w:tblGrid>
      <w:tr>
        <w:trPr/>
        <w:tc>
          <w:tcPr>
            <w:tcW w:w="57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pPr>
      <w:r>
        <w:rPr>
          <w:rFonts w:ascii="Times New Roman;serif" w:hAnsi="Times New Roman;serif"/>
          <w:b/>
          <w:i/>
          <w:color w:val="000000"/>
          <w:sz w:val="20"/>
        </w:rPr>
        <w:t>Gaming revenues</w:t>
      </w:r>
      <w:r>
        <w:rPr>
          <w:color w:val="000000"/>
        </w:rPr>
        <w:t xml:space="preserve"> </w:t>
      </w:r>
      <w:r>
        <w:rPr>
          <w:rFonts w:ascii="Times New Roman;serif" w:hAnsi="Times New Roman;serif"/>
          <w:b w:val="false"/>
          <w:color w:val="000000"/>
          <w:sz w:val="20"/>
        </w:rPr>
        <w:t xml:space="preserve">for the year ended December 31, 2025 increased by $180.5 million compared </w:t>
      </w:r>
      <w:r>
        <w:rPr>
          <w:rFonts w:ascii="Times New Roman;serif" w:hAnsi="Times New Roman;serif"/>
          <w:b w:val="false"/>
          <w:color w:val="000000"/>
          <w:sz w:val="20"/>
          <w:shd w:fill="FFFFFF" w:val="clear"/>
        </w:rPr>
        <w:t xml:space="preserve">to the prior year, primarily due to an increase in online gaming revenues at our Interactive segment. This increase was due to </w:t>
      </w:r>
      <w:r>
        <w:rPr>
          <w:rFonts w:ascii="Times New Roman;serif" w:hAnsi="Times New Roman;serif"/>
          <w:b w:val="false"/>
          <w:color w:val="000000"/>
          <w:sz w:val="20"/>
        </w:rPr>
        <w:t>iCasino and online sports betting growth driven by ongoing product enhancements and decreased promotional expense. Additionally, the recent openings of our new land-based Joliet facility and the second hotel tower at M Resort contributed to i</w:t>
      </w:r>
      <w:r>
        <w:rPr>
          <w:rFonts w:ascii="Times New Roman;serif" w:hAnsi="Times New Roman;serif"/>
          <w:b w:val="false"/>
          <w:color w:val="000000"/>
          <w:sz w:val="20"/>
          <w:shd w:fill="FFFFFF" w:val="clear"/>
        </w:rPr>
        <w:t xml:space="preserve">ncreases in revenues within our Midwest and West segments, respectively. Despite weather events negatively impacting our Northeast segment, its revenues increased by </w:t>
      </w:r>
      <w:r>
        <w:rPr>
          <w:rFonts w:ascii="Times New Roman;serif" w:hAnsi="Times New Roman;serif"/>
          <w:b w:val="false"/>
          <w:color w:val="000000"/>
          <w:sz w:val="20"/>
        </w:rPr>
        <w:t>$8.6 million compared to the prior year</w:t>
      </w:r>
      <w:r>
        <w:rPr>
          <w:rFonts w:ascii="Times New Roman;serif" w:hAnsi="Times New Roman;serif"/>
          <w:b w:val="false"/>
          <w:color w:val="000000"/>
          <w:sz w:val="20"/>
          <w:shd w:fill="FFFFFF" w:val="clear"/>
        </w:rPr>
        <w:t xml:space="preserve">. Increases in revenues within our Northeast, Midwest, and West segments were partially offset by decreases within our South segment, where new </w:t>
      </w:r>
      <w:r>
        <w:rPr>
          <w:rFonts w:ascii="Times New Roman;serif" w:hAnsi="Times New Roman;serif"/>
          <w:b w:val="false"/>
          <w:color w:val="000000"/>
          <w:sz w:val="20"/>
        </w:rPr>
        <w:t>supply continues to</w:t>
      </w:r>
      <w:r>
        <w:rPr>
          <w:color w:val="000000"/>
          <w:shd w:fill="FFFFFF" w:val="clear"/>
        </w:rPr>
        <w:t xml:space="preserve"> </w:t>
      </w:r>
      <w:r>
        <w:rPr>
          <w:rFonts w:ascii="Times New Roman;serif" w:hAnsi="Times New Roman;serif"/>
          <w:b w:val="false"/>
          <w:color w:val="000000"/>
          <w:sz w:val="20"/>
          <w:shd w:fill="FFFFFF" w:val="clear"/>
        </w:rPr>
        <w:t>impact visitation.</w:t>
      </w:r>
    </w:p>
    <w:p>
      <w:pPr>
        <w:pStyle w:val="TextBody"/>
        <w:bidi w:val="0"/>
        <w:spacing w:lineRule="auto" w:line="288" w:before="0" w:after="200"/>
        <w:ind w:left="0" w:right="0" w:firstLine="360"/>
        <w:jc w:val="left"/>
        <w:rPr/>
      </w:pPr>
      <w:r>
        <w:rPr>
          <w:rFonts w:ascii="Times New Roman;serif" w:hAnsi="Times New Roman;serif"/>
          <w:b/>
          <w:i/>
          <w:color w:val="000000"/>
          <w:sz w:val="20"/>
          <w:shd w:fill="FFFFFF" w:val="clear"/>
        </w:rPr>
        <w:t>Food, beverage, hotel, and other revenues</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increased by $202.4 million compared to the prior year, </w:t>
      </w:r>
      <w:r>
        <w:rPr>
          <w:rFonts w:ascii="Times New Roman;serif" w:hAnsi="Times New Roman;serif"/>
          <w:b w:val="false"/>
          <w:color w:val="000000"/>
          <w:sz w:val="20"/>
        </w:rPr>
        <w:t xml:space="preserve">primarily due to an increase in gaming tax reimbursement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 xml:space="preserve">partners for </w:t>
      </w:r>
      <w:r>
        <w:rPr>
          <w:rFonts w:ascii="Times New Roman;serif" w:hAnsi="Times New Roman;serif"/>
          <w:b w:val="false"/>
          <w:color w:val="000000"/>
          <w:sz w:val="20"/>
        </w:rPr>
        <w:t>online sports betting</w:t>
      </w:r>
      <w:r>
        <w:rPr>
          <w:color w:val="000000"/>
          <w:shd w:fill="FFFFFF" w:val="clear"/>
        </w:rPr>
        <w:t xml:space="preserve"> </w:t>
      </w:r>
      <w:r>
        <w:rPr>
          <w:rFonts w:ascii="Times New Roman;serif" w:hAnsi="Times New Roman;serif"/>
          <w:b w:val="false"/>
          <w:color w:val="000000"/>
          <w:sz w:val="20"/>
          <w:shd w:fill="FFFFFF" w:val="clear"/>
        </w:rPr>
        <w:t>and iCasino market access</w:t>
      </w:r>
      <w:r>
        <w:rPr>
          <w:color w:val="000000"/>
        </w:rPr>
        <w:t xml:space="preserve"> </w:t>
      </w:r>
      <w:r>
        <w:rPr>
          <w:rFonts w:ascii="Times New Roman;serif" w:hAnsi="Times New Roman;serif"/>
          <w:b w:val="false"/>
          <w:color w:val="000000"/>
          <w:sz w:val="20"/>
        </w:rPr>
        <w:t>of $152.7 million</w:t>
      </w:r>
      <w:r>
        <w:rPr>
          <w:color w:val="000000"/>
          <w:shd w:fill="FFFFFF" w:val="clear"/>
        </w:rPr>
        <w:t xml:space="preserve"> </w:t>
      </w:r>
      <w:r>
        <w:rPr>
          <w:rFonts w:ascii="Times New Roman;serif" w:hAnsi="Times New Roman;serif"/>
          <w:b w:val="false"/>
          <w:color w:val="000000"/>
          <w:sz w:val="20"/>
        </w:rPr>
        <w:t>compared to the prior year. Our South segment’s food, beverage, hotel, and other revenues increased compared to the prior year, reflecting higher room availability and guest traffic following the completion of room renovations and remodeling at certain properties in 2025, as well as the reopening of select dining venues. Additionally, the recent openings of our new land-based Joliet facility and the second hotel tower at M Resort contributed to i</w:t>
      </w:r>
      <w:r>
        <w:rPr>
          <w:rFonts w:ascii="Times New Roman;serif" w:hAnsi="Times New Roman;serif"/>
          <w:b w:val="false"/>
          <w:color w:val="000000"/>
          <w:sz w:val="20"/>
          <w:shd w:fill="FFFFFF" w:val="clear"/>
        </w:rPr>
        <w:t>ncreases in revenues within our Midwest and West segments, respectively, as discussed above.</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See </w:t>
      </w:r>
      <w:hyperlink w:anchor="ic1a494480e6146a1a6acab9187fe13be_100">
        <w:r>
          <w:rPr>
            <w:rStyle w:val="InternetLink"/>
            <w:color w:val="0000FF"/>
            <w:u w:val="single"/>
            <w:shd w:fill="FFFFFF" w:val="clear"/>
          </w:rPr>
          <w:t>“</w:t>
        </w:r>
      </w:hyperlink>
      <w:hyperlink w:anchor="ic1a494480e6146a1a6acab9187fe13be_100">
        <w:r>
          <w:rPr>
            <w:rStyle w:val="InternetLink"/>
            <w:rFonts w:ascii="Times New Roman;serif" w:hAnsi="Times New Roman;serif"/>
            <w:b w:val="false"/>
            <w:color w:val="0000FF"/>
            <w:sz w:val="20"/>
            <w:u w:val="single"/>
            <w:shd w:fill="FFFFFF" w:val="clear"/>
          </w:rPr>
          <w:t>Segment comparison of the years ended December 31, 2025 and 2024”</w:t>
        </w:r>
      </w:hyperlink>
      <w:r>
        <w:rPr>
          <w:color w:val="000000"/>
          <w:shd w:fill="FFFFFF" w:val="clear"/>
        </w:rPr>
        <w:t xml:space="preserve"> </w:t>
      </w:r>
      <w:r>
        <w:rPr>
          <w:rFonts w:ascii="Times New Roman;serif" w:hAnsi="Times New Roman;serif"/>
          <w:b w:val="false"/>
          <w:color w:val="000000"/>
          <w:sz w:val="20"/>
          <w:shd w:fill="FFFFFF" w:val="clear"/>
        </w:rPr>
        <w:t>below for more detailed explanations of the fluctuations in revenues.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operating expenses:</w:t>
      </w:r>
    </w:p>
    <w:tbl>
      <w:tblPr>
        <w:tblW w:w="10321" w:type="dxa"/>
        <w:jc w:val="left"/>
        <w:tblInd w:w="0" w:type="dxa"/>
        <w:tblLayout w:type="fixed"/>
        <w:tblCellMar>
          <w:top w:w="28" w:type="dxa"/>
          <w:left w:w="28" w:type="dxa"/>
          <w:bottom w:w="28" w:type="dxa"/>
          <w:right w:w="28" w:type="dxa"/>
        </w:tblCellMar>
      </w:tblPr>
      <w:tblGrid>
        <w:gridCol w:w="844"/>
        <w:gridCol w:w="231"/>
        <w:gridCol w:w="21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631"/>
        <w:gridCol w:w="109"/>
        <w:gridCol w:w="109"/>
        <w:gridCol w:w="109"/>
        <w:gridCol w:w="109"/>
        <w:gridCol w:w="337"/>
        <w:gridCol w:w="279"/>
        <w:gridCol w:w="292"/>
        <w:gridCol w:w="109"/>
        <w:gridCol w:w="109"/>
        <w:gridCol w:w="109"/>
        <w:gridCol w:w="265"/>
        <w:gridCol w:w="261"/>
        <w:gridCol w:w="339"/>
      </w:tblGrid>
      <w:tr>
        <w:trPr/>
        <w:tc>
          <w:tcPr>
            <w:tcW w:w="8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Barstool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i/>
          <w:color w:val="000000"/>
          <w:sz w:val="20"/>
        </w:rPr>
        <w:t>Gaming expenses</w:t>
      </w:r>
      <w:r>
        <w:rPr>
          <w:color w:val="000000"/>
        </w:rPr>
        <w:t xml:space="preserve"> </w:t>
      </w:r>
      <w:r>
        <w:rPr>
          <w:rFonts w:ascii="Times New Roman;serif" w:hAnsi="Times New Roman;serif"/>
          <w:b w:val="false"/>
          <w:color w:val="000000"/>
          <w:sz w:val="20"/>
        </w:rPr>
        <w:t xml:space="preserve">consist primarily of gaming taxes, payroll, advertising, marketing and promotional, and other expenses associated with our gaming operations. Gaming expenses for the year ended December 31, 2025 increased by $17.4 million </w:t>
      </w:r>
      <w:r>
        <w:rPr>
          <w:rFonts w:ascii="Times New Roman;serif" w:hAnsi="Times New Roman;serif"/>
          <w:b w:val="false"/>
          <w:color w:val="000000"/>
          <w:sz w:val="20"/>
          <w:shd w:fill="FFFFFF" w:val="clear"/>
        </w:rPr>
        <w:t>compared to the prior year. F</w:t>
      </w:r>
      <w:r>
        <w:rPr>
          <w:rFonts w:ascii="Times New Roman;serif" w:hAnsi="Times New Roman;serif"/>
          <w:b w:val="false"/>
          <w:color w:val="000000"/>
          <w:sz w:val="20"/>
        </w:rPr>
        <w:t>or the year ended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gaming taxes increased at our retail properties within our Northeast, West, and Midwest segments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due to an increase in gaming revenues, and </w:t>
      </w:r>
      <w:r>
        <w:rPr>
          <w:rFonts w:ascii="Times New Roman;serif" w:hAnsi="Times New Roman;serif"/>
          <w:b w:val="false"/>
          <w:color w:val="000000"/>
          <w:sz w:val="20"/>
          <w:shd w:fill="FFFFFF" w:val="clear"/>
        </w:rPr>
        <w:t xml:space="preserve">at our Interactive segment, </w:t>
      </w:r>
      <w:r>
        <w:rPr>
          <w:rFonts w:ascii="Times New Roman;serif" w:hAnsi="Times New Roman;serif"/>
          <w:b w:val="false"/>
          <w:color w:val="000000"/>
          <w:sz w:val="20"/>
        </w:rPr>
        <w:t xml:space="preserve">due to an increase in </w:t>
      </w:r>
      <w:r>
        <w:rPr>
          <w:rFonts w:ascii="Times New Roman;serif" w:hAnsi="Times New Roman;serif"/>
          <w:b w:val="false"/>
          <w:color w:val="000000"/>
          <w:sz w:val="20"/>
          <w:shd w:fill="FFFFFF" w:val="clear"/>
        </w:rPr>
        <w:t>online gaming revenue as discussed above. The increase was partially offset by a decrease in marketing expense at our Interactive segment compared to the prior year. In the prior year period, we incurred additional marketing expenses to support our initial launch of ESPN BET within our Interactive segment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Food, beverage, hotel, and other expenses</w:t>
      </w:r>
      <w:r>
        <w:rPr>
          <w:color w:val="000000"/>
        </w:rPr>
        <w:t xml:space="preserve"> </w:t>
      </w:r>
      <w:r>
        <w:rPr>
          <w:rFonts w:ascii="Times New Roman;serif" w:hAnsi="Times New Roman;serif"/>
          <w:b w:val="false"/>
          <w:color w:val="000000"/>
          <w:sz w:val="20"/>
        </w:rPr>
        <w:t xml:space="preserve">consist primarily of payroll costs, costs of goods sold, and other costs associated with our food, beverage, hotel, retail, racing, and Interactive operations. Food, beverage, hotel, and other expenses for the year ended December 31, 2025 increased $176.7 million compared to the prior year, </w:t>
      </w:r>
      <w:r>
        <w:rPr>
          <w:rFonts w:ascii="Times New Roman;serif" w:hAnsi="Times New Roman;serif"/>
          <w:b w:val="false"/>
          <w:color w:val="000000"/>
          <w:sz w:val="20"/>
          <w:shd w:fill="FFFFFF" w:val="clear"/>
        </w:rPr>
        <w:t>primarily due to</w:t>
      </w:r>
      <w:r>
        <w:rPr>
          <w:color w:val="000000"/>
        </w:rPr>
        <w:t xml:space="preserve"> </w:t>
      </w:r>
      <w:r>
        <w:rPr>
          <w:rFonts w:ascii="Times New Roman;serif" w:hAnsi="Times New Roman;serif"/>
          <w:b w:val="false"/>
          <w:color w:val="000000"/>
          <w:sz w:val="20"/>
        </w:rPr>
        <w:t>increases in gaming tax reimbursement amounts related to third-party online sports betting and/or iCasino partners for online sports betting and iCasino market access.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include items such as compliance, facility maintenance, utilities, property and liability insurance, surveillance and 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General and administrative expenses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increased by </w:t>
      </w:r>
      <w:r>
        <w:rPr>
          <w:rFonts w:ascii="Times New Roman;serif" w:hAnsi="Times New Roman;serif"/>
          <w:b w:val="false"/>
          <w:color w:val="000000"/>
          <w:sz w:val="20"/>
        </w:rPr>
        <w:t>$65.4 million compared to the prior year, primarily due legal and advisory costs related to activist activity incurred in connection with the Company’s 2025 Annual Meeting of $22.4 million, an increase in pre-opening expenses of $17.3 million for the PENN Development Projects, and an increase in rent expense of $11.6 million stemming from the 2023 Master Lease lease modifications on August 1, 2025 and November 3, 2025, as well as annual escalators on our triple net operating leases.</w:t>
      </w:r>
    </w:p>
    <w:p>
      <w:pPr>
        <w:pStyle w:val="TextBody"/>
        <w:bidi w:val="0"/>
        <w:spacing w:lineRule="auto" w:line="288" w:before="0" w:after="200"/>
        <w:ind w:left="0" w:right="0" w:firstLine="360"/>
        <w:jc w:val="left"/>
        <w:rPr/>
      </w:pPr>
      <w:r>
        <w:rPr>
          <w:rFonts w:ascii="Times New Roman;serif" w:hAnsi="Times New Roman;serif"/>
          <w:b/>
          <w:i/>
          <w:color w:val="000000"/>
          <w:sz w:val="20"/>
        </w:rPr>
        <w:t>Impairment losses</w:t>
      </w:r>
      <w:r>
        <w:rPr>
          <w:color w:val="000000"/>
        </w:rPr>
        <w:t xml:space="preserve"> </w:t>
      </w:r>
      <w:r>
        <w:rPr>
          <w:rFonts w:ascii="Times New Roman;serif" w:hAnsi="Times New Roman;serif"/>
          <w:b w:val="false"/>
          <w:color w:val="000000"/>
          <w:sz w:val="20"/>
        </w:rPr>
        <w:t>for the year ended December 31, 2025 primarily relate to an impairment charge at our Interactive segment for goodwill of $825.0 million as a result of an interim impairment assessment during the third quarter of 2025, an impairment charge at our ACB property for its trademark of $15.0 million as a result of an interim impairment assessment during the second quarter of 2025, an impairment charge at our South segment for goodwill of $7.0 million as a result of our annual impairment assessment during the fourth quarter of 2025, and impairment charges at our Northeast, South, and West segments for other intangible assets of $98.3 million as a result of our annual impairment assessment during the fourth quarter of 2025.</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impairment of goodwill at our Interactive segment resulted from the Company’s realignment of its digital focus following the mutual decision for an early termination of our Sportsbook Agreement with ESPN (as defined in </w:t>
      </w:r>
      <w:hyperlink w:anchor="ic1a494480e6146a1a6acab9187fe13be_187">
        <w:r>
          <w:rPr>
            <w:rStyle w:val="InternetLink"/>
            <w:rFonts w:ascii="Times New Roman;serif" w:hAnsi="Times New Roman;serif"/>
            <w:b w:val="false"/>
            <w:color w:val="0000FF"/>
            <w:sz w:val="20"/>
            <w:u w:val="single"/>
          </w:rPr>
          <w:t>Note 12, “Commitments and Contingencies”</w:t>
        </w:r>
      </w:hyperlink>
      <w:r>
        <w:rPr>
          <w:rFonts w:ascii="Times New Roman;serif" w:hAnsi="Times New Roman;serif"/>
          <w:b w:val="false"/>
          <w:color w:val="000000"/>
          <w:sz w:val="20"/>
        </w:rPr>
        <w:t xml:space="preserve">). The impairment of the trademark at our ACB property resulted from the strategic decision to rebrand ACB. The impairment of goodwill in our South segment resulted from economic challenges in a specific operating region which led to reductions in long-term cash flow projections. Additionally, a former expansion of legislation in the market, increased supply, and economic challenges resulted in reductions in long-term projections for certain of our properties in our Northeast, South, and West segments, resulting in gaming license and trademark impairment charges at certain reporting units in those segments in 2025. See </w:t>
      </w:r>
      <w:hyperlink w:anchor="ic1a494480e6146a1a6acab9187fe13be_169">
        <w:r>
          <w:rPr>
            <w:rStyle w:val="InternetLink"/>
            <w:rFonts w:ascii="Times New Roman;serif" w:hAnsi="Times New Roman;serif"/>
            <w:b w:val="false"/>
            <w:color w:val="0000FF"/>
            <w:sz w:val="20"/>
            <w:u w:val="single"/>
          </w:rPr>
          <w:t>Note 8, “Goodwill and Other Intangible Assets”</w:t>
        </w:r>
      </w:hyperlink>
      <w:r>
        <w:rPr>
          <w:color w:val="000000"/>
        </w:rPr>
        <w:t xml:space="preserve"> </w:t>
      </w:r>
      <w:r>
        <w:rPr>
          <w:rFonts w:ascii="Times New Roman;serif" w:hAnsi="Times New Roman;serif"/>
          <w:b w:val="false"/>
          <w:color w:val="000000"/>
          <w:sz w:val="20"/>
        </w:rPr>
        <w:t>in the notes to the Consolidated Financial Statements for further discussion.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recorded impairment charges on our goodwill and other intangible assets of $12.3 million and $76.8 million, respectively, as a result of our annual impairment assessment during the fourth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other income (expenses):</w:t>
      </w:r>
    </w:p>
    <w:tbl>
      <w:tblPr>
        <w:tblW w:w="10205" w:type="dxa"/>
        <w:jc w:val="left"/>
        <w:tblInd w:w="0" w:type="dxa"/>
        <w:tblLayout w:type="fixed"/>
        <w:tblCellMar>
          <w:top w:w="28" w:type="dxa"/>
          <w:left w:w="28" w:type="dxa"/>
          <w:bottom w:w="28" w:type="dxa"/>
          <w:right w:w="28" w:type="dxa"/>
        </w:tblCellMar>
      </w:tblPr>
      <w:tblGrid>
        <w:gridCol w:w="837"/>
        <w:gridCol w:w="436"/>
        <w:gridCol w:w="292"/>
        <w:gridCol w:w="211"/>
        <w:gridCol w:w="636"/>
        <w:gridCol w:w="109"/>
        <w:gridCol w:w="109"/>
        <w:gridCol w:w="109"/>
        <w:gridCol w:w="109"/>
        <w:gridCol w:w="211"/>
        <w:gridCol w:w="636"/>
        <w:gridCol w:w="109"/>
        <w:gridCol w:w="109"/>
        <w:gridCol w:w="109"/>
        <w:gridCol w:w="109"/>
        <w:gridCol w:w="211"/>
        <w:gridCol w:w="636"/>
        <w:gridCol w:w="109"/>
        <w:gridCol w:w="109"/>
        <w:gridCol w:w="109"/>
        <w:gridCol w:w="109"/>
        <w:gridCol w:w="217"/>
        <w:gridCol w:w="636"/>
        <w:gridCol w:w="112"/>
        <w:gridCol w:w="109"/>
        <w:gridCol w:w="109"/>
        <w:gridCol w:w="109"/>
        <w:gridCol w:w="215"/>
        <w:gridCol w:w="652"/>
        <w:gridCol w:w="111"/>
        <w:gridCol w:w="109"/>
        <w:gridCol w:w="109"/>
        <w:gridCol w:w="109"/>
        <w:gridCol w:w="281"/>
        <w:gridCol w:w="250"/>
        <w:gridCol w:w="330"/>
        <w:gridCol w:w="109"/>
        <w:gridCol w:w="109"/>
        <w:gridCol w:w="109"/>
        <w:gridCol w:w="310"/>
        <w:gridCol w:w="306"/>
        <w:gridCol w:w="390"/>
      </w:tblGrid>
      <w:tr>
        <w:trPr/>
        <w:tc>
          <w:tcPr>
            <w:tcW w:w="83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Barstool Acquisition,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REIT transactions,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financing arrangement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 xml:space="preserve">decreased by </w:t>
      </w:r>
      <w:r>
        <w:rPr>
          <w:rFonts w:ascii="Times New Roman;serif" w:hAnsi="Times New Roman;serif"/>
          <w:b w:val="false"/>
          <w:color w:val="000000"/>
          <w:sz w:val="20"/>
          <w:shd w:fill="FFFFFF" w:val="clear"/>
        </w:rPr>
        <w:t>$64.7 million</w:t>
      </w:r>
      <w:r>
        <w:rPr>
          <w:color w:val="000000"/>
        </w:rPr>
        <w:t xml:space="preserve"> </w:t>
      </w:r>
      <w:r>
        <w:rPr>
          <w:rFonts w:ascii="Times New Roman;serif" w:hAnsi="Times New Roman;serif"/>
          <w:b w:val="false"/>
          <w:color w:val="000000"/>
          <w:sz w:val="20"/>
        </w:rPr>
        <w:t xml:space="preserve">for the year ended December 31, 2025, as compared to the prior year. The prior year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 xml:space="preserve">the first quarter of 2025 included interest expense related to the Company’s financing arrangement, which is described in </w:t>
      </w:r>
      <w:r>
        <w:rPr>
          <w:rFonts w:ascii="Times New Roman;serif" w:hAnsi="Times New Roman;serif"/>
          <w:b w:val="false"/>
          <w:color w:val="000000"/>
          <w:sz w:val="20"/>
          <w:shd w:fill="FFFFFF" w:val="clear"/>
        </w:rPr>
        <w:t>further</w:t>
      </w:r>
      <w:r>
        <w:rPr>
          <w:color w:val="000000"/>
        </w:rPr>
        <w:t xml:space="preserve"> </w:t>
      </w:r>
      <w:r>
        <w:rPr>
          <w:rFonts w:ascii="Times New Roman;serif" w:hAnsi="Times New Roman;serif"/>
          <w:b w:val="false"/>
          <w:color w:val="000000"/>
          <w:sz w:val="20"/>
        </w:rPr>
        <w:t xml:space="preserve">detail below in “Gain on financing arrangement.” Additionally, capitalized interest related to the PENN </w:t>
      </w:r>
      <w:r>
        <w:rPr>
          <w:rFonts w:ascii="Times New Roman;serif" w:hAnsi="Times New Roman;serif"/>
          <w:b w:val="false"/>
          <w:color w:val="000000"/>
          <w:sz w:val="20"/>
          <w:shd w:fill="FFFFFF" w:val="clear"/>
        </w:rPr>
        <w:t>Development Projects increased from the prior year period.</w:t>
      </w:r>
    </w:p>
    <w:p>
      <w:pPr>
        <w:pStyle w:val="TextBody"/>
        <w:bidi w:val="0"/>
        <w:spacing w:lineRule="auto" w:line="288" w:before="0" w:after="200"/>
        <w:ind w:left="0" w:right="0" w:firstLine="360"/>
        <w:jc w:val="left"/>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 xml:space="preserve">decreased by </w:t>
      </w:r>
      <w:r>
        <w:rPr>
          <w:rFonts w:ascii="Times New Roman;serif" w:hAnsi="Times New Roman;serif"/>
          <w:b w:val="false"/>
          <w:color w:val="000000"/>
          <w:sz w:val="20"/>
          <w:shd w:fill="FFFFFF" w:val="clear"/>
        </w:rPr>
        <w:t>$13.9 million</w:t>
      </w:r>
      <w:r>
        <w:rPr>
          <w:color w:val="000000"/>
        </w:rPr>
        <w:t xml:space="preserve">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year</w:t>
      </w:r>
      <w:r>
        <w:rPr>
          <w:color w:val="000000"/>
        </w:rPr>
        <w:t xml:space="preserve"> </w:t>
      </w:r>
      <w:r>
        <w:rPr>
          <w:rFonts w:ascii="Times New Roman;serif" w:hAnsi="Times New Roman;serif"/>
          <w:b w:val="false"/>
          <w:color w:val="000000"/>
          <w:sz w:val="20"/>
        </w:rPr>
        <w:t>ended December 31, 2025, as compared to the prior year, primarily due to lower cash balances invested in our money market funds.</w:t>
      </w:r>
    </w:p>
    <w:p>
      <w:pPr>
        <w:pStyle w:val="TextBody"/>
        <w:bidi w:val="0"/>
        <w:spacing w:lineRule="auto" w:line="288" w:before="0" w:after="200"/>
        <w:ind w:left="0" w:right="0" w:firstLine="360"/>
        <w:jc w:val="left"/>
        <w:rPr/>
      </w:pPr>
      <w:r>
        <w:rPr>
          <w:rFonts w:ascii="Times New Roman;serif" w:hAnsi="Times New Roman;serif"/>
          <w:b/>
          <w:i/>
          <w:color w:val="000000"/>
          <w:sz w:val="20"/>
        </w:rPr>
        <w:t>Income from unconsolidated affiliates</w:t>
      </w:r>
      <w:r>
        <w:rPr>
          <w:color w:val="000000"/>
        </w:rPr>
        <w:t xml:space="preserve"> </w:t>
      </w:r>
      <w:r>
        <w:rPr>
          <w:rFonts w:ascii="Times New Roman;serif" w:hAnsi="Times New Roman;serif"/>
          <w:b w:val="false"/>
          <w:color w:val="000000"/>
          <w:sz w:val="20"/>
        </w:rPr>
        <w:t>relates principally to our investment in the Kansas Entertainment and Freehold Raceway joint venture. Operations at Freehold Raceway ceased on December 28, 2024. The change in income from the prior year is due to fluctuations in earnings from our investments in these unconsolidated affiliates.</w:t>
      </w:r>
    </w:p>
    <w:p>
      <w:pPr>
        <w:pStyle w:val="TextBody"/>
        <w:bidi w:val="0"/>
        <w:spacing w:lineRule="auto" w:line="288" w:before="0" w:after="200"/>
        <w:ind w:left="0" w:right="0" w:firstLine="360"/>
        <w:jc w:val="left"/>
        <w:rPr/>
      </w:pPr>
      <w:r>
        <w:rPr>
          <w:rFonts w:ascii="Times New Roman;serif" w:hAnsi="Times New Roman;serif"/>
          <w:b/>
          <w:i/>
          <w:color w:val="000000"/>
          <w:sz w:val="20"/>
        </w:rPr>
        <w:t>Gain on REIT transactions, net</w:t>
      </w:r>
      <w:r>
        <w:rPr>
          <w:color w:val="000000"/>
        </w:rPr>
        <w:t xml:space="preserve"> </w:t>
      </w:r>
      <w:r>
        <w:rPr>
          <w:rFonts w:ascii="Times New Roman;serif" w:hAnsi="Times New Roman;serif"/>
          <w:b w:val="false"/>
          <w:color w:val="000000"/>
          <w:sz w:val="20"/>
        </w:rPr>
        <w:t xml:space="preserve">relates to the derecognition of assets associated with the previously leased Joliet facility in connection with the 2023 Master Lease modification, effective August 1, 2025. See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to our Consolidated Financial Statements for further discussion.</w:t>
      </w:r>
    </w:p>
    <w:p>
      <w:pPr>
        <w:pStyle w:val="TextBody"/>
        <w:bidi w:val="0"/>
        <w:spacing w:lineRule="auto" w:line="288" w:before="0" w:after="200"/>
        <w:ind w:left="0" w:right="0" w:firstLine="360"/>
        <w:jc w:val="left"/>
        <w:rPr/>
      </w:pPr>
      <w:r>
        <w:rPr>
          <w:rFonts w:ascii="Times New Roman;serif" w:hAnsi="Times New Roman;serif"/>
          <w:b/>
          <w:i/>
          <w:color w:val="000000"/>
          <w:sz w:val="20"/>
        </w:rPr>
        <w:t>Gain on financing arrangement</w:t>
      </w:r>
      <w:r>
        <w:rPr>
          <w:color w:val="000000"/>
        </w:rPr>
        <w:t xml:space="preserve"> </w:t>
      </w:r>
      <w:r>
        <w:rPr>
          <w:rFonts w:ascii="Times New Roman;serif" w:hAnsi="Times New Roman;serif"/>
          <w:b w:val="false"/>
          <w:color w:val="000000"/>
          <w:sz w:val="20"/>
        </w:rPr>
        <w:t xml:space="preserve">relates to a $215.1 million non-cash gain on a financing arrangement that we entered into in February 2021 with a third-party, which provided the Company with upfront and non-refundable cash proceeds while permitting us to participate in future proceeds on certain insurance coverage claims for economic losses PENN sustained due to the COVID-19 pandemic. During the first quarter of 2025, the Company determined that obligations under these claims are no longer probable and therefore recognized a non-cash gain related to this obligation comprised of cash proceeds received in 2021 of $72.5 million and $142.6 million of accreted non-cash interest. See </w:t>
      </w:r>
      <w:hyperlink w:anchor="ic1a494480e6146a1a6acab9187fe13be_175">
        <w:r>
          <w:rPr>
            <w:rStyle w:val="InternetLink"/>
            <w:rFonts w:ascii="Times New Roman;serif" w:hAnsi="Times New Roman;serif"/>
            <w:b w:val="false"/>
            <w:color w:val="0000FF"/>
            <w:sz w:val="20"/>
            <w:u w:val="single"/>
          </w:rPr>
          <w:t>Note 10, “Long-Term Debt”</w:t>
        </w:r>
      </w:hyperlink>
      <w:r>
        <w:rPr>
          <w:color w:val="000000"/>
        </w:rPr>
        <w:t xml:space="preserve"> </w:t>
      </w:r>
      <w:r>
        <w:rPr>
          <w:rFonts w:ascii="Times New Roman;serif" w:hAnsi="Times New Roman;serif"/>
          <w:b w:val="false"/>
          <w:color w:val="000000"/>
          <w:sz w:val="20"/>
        </w:rPr>
        <w:t>to the Consolidated Financial Statements for additional details.</w:t>
      </w:r>
    </w:p>
    <w:p>
      <w:pPr>
        <w:pStyle w:val="TextBody"/>
        <w:bidi w:val="0"/>
        <w:spacing w:lineRule="auto" w:line="288" w:before="0" w:after="200"/>
        <w:ind w:left="0" w:right="0" w:firstLine="360"/>
        <w:jc w:val="left"/>
        <w:rPr/>
      </w:pPr>
      <w:r>
        <w:rPr>
          <w:rFonts w:ascii="Times New Roman;serif" w:hAnsi="Times New Roman;serif"/>
          <w:b/>
          <w:i/>
          <w:color w:val="000000"/>
          <w:sz w:val="20"/>
        </w:rPr>
        <w:t>Loss on early extinguishment of debt</w:t>
      </w:r>
      <w:r>
        <w:rPr>
          <w:color w:val="000000"/>
        </w:rPr>
        <w:t xml:space="preserve"> </w:t>
      </w:r>
      <w:r>
        <w:rPr>
          <w:rFonts w:ascii="Times New Roman;serif" w:hAnsi="Times New Roman;serif"/>
          <w:b w:val="false"/>
          <w:color w:val="000000"/>
          <w:sz w:val="20"/>
        </w:rPr>
        <w:t xml:space="preserve">relates to the repurchases of the 2.75% convertible notes due 2026 (the “Convertible Notes”). See </w:t>
      </w:r>
      <w:hyperlink w:anchor="ic1a494480e6146a1a6acab9187fe13be_175">
        <w:r>
          <w:rPr>
            <w:rStyle w:val="InternetLink"/>
            <w:rFonts w:ascii="Times New Roman;serif" w:hAnsi="Times New Roman;serif"/>
            <w:b w:val="false"/>
            <w:color w:val="0000FF"/>
            <w:sz w:val="20"/>
            <w:u w:val="single"/>
          </w:rPr>
          <w:t>Note 10, “Long-term Debt”</w:t>
        </w:r>
      </w:hyperlink>
      <w:r>
        <w:rPr>
          <w:color w:val="000000"/>
        </w:rPr>
        <w:t xml:space="preserve"> </w:t>
      </w:r>
      <w:r>
        <w:rPr>
          <w:rFonts w:ascii="Times New Roman;serif" w:hAnsi="Times New Roman;serif"/>
          <w:b w:val="false"/>
          <w:color w:val="000000"/>
          <w:sz w:val="20"/>
        </w:rPr>
        <w:t>to our Consolidated Financial Statements for further discussion.</w:t>
      </w:r>
    </w:p>
    <w:p>
      <w:pPr>
        <w:pStyle w:val="TextBody"/>
        <w:bidi w:val="0"/>
        <w:spacing w:lineRule="auto" w:line="288" w:before="0" w:after="200"/>
        <w:ind w:left="0" w:right="0" w:firstLine="360"/>
        <w:jc w:val="left"/>
        <w:rPr/>
      </w:pPr>
      <w:r>
        <w:rPr>
          <w:rFonts w:ascii="Times New Roman;serif" w:hAnsi="Times New Roman;serif"/>
          <w:b/>
          <w:i/>
          <w:color w:val="000000"/>
          <w:sz w:val="20"/>
          <w:shd w:fill="FFFFFF" w:val="clear"/>
        </w:rPr>
        <w:t>Other</w:t>
      </w:r>
      <w:r>
        <w:rPr>
          <w:color w:val="000000"/>
          <w:shd w:fill="FFFFFF" w:val="clear"/>
        </w:rPr>
        <w:t xml:space="preserve"> </w:t>
      </w:r>
      <w:r>
        <w:rPr>
          <w:rFonts w:ascii="Times New Roman;serif" w:hAnsi="Times New Roman;serif"/>
          <w:b w:val="false"/>
          <w:color w:val="000000"/>
          <w:sz w:val="20"/>
        </w:rPr>
        <w:t>primarily relates to realized and unrealized gains and losses on equity securities held by PENN Interactive as well as miscellaneous income and expense items. The equity securities were sold in the second quarter of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fo</w:t>
      </w:r>
      <w:r>
        <w:rPr>
          <w:rFonts w:ascii="Times New Roman;serif" w:hAnsi="Times New Roman;serif"/>
          <w:b w:val="false"/>
          <w:color w:val="000000"/>
          <w:sz w:val="20"/>
          <w:shd w:fill="FFFFFF" w:val="clear"/>
        </w:rPr>
        <w:t xml:space="preserve">r the year ended December 31, 2025 was $24.6 million, as compared to a $28.0 million benefit for the year ended December 31, 2024. Our effective tax rate (income taxes as a percentage of loss from operations before income taxes) was </w:t>
      </w:r>
      <w:r>
        <w:rPr>
          <w:rFonts w:ascii="Times New Roman;serif" w:hAnsi="Times New Roman;serif"/>
          <w:b w:val="false"/>
          <w:color w:val="000000"/>
          <w:sz w:val="20"/>
        </w:rPr>
        <w:t>(3.0)%</w:t>
      </w:r>
      <w:r>
        <w:rPr>
          <w:color w:val="000000"/>
          <w:shd w:fill="FFFFFF" w:val="clear"/>
        </w:rPr>
        <w:t xml:space="preserve"> </w:t>
      </w:r>
      <w:r>
        <w:rPr>
          <w:rFonts w:ascii="Times New Roman;serif" w:hAnsi="Times New Roman;serif"/>
          <w:b w:val="false"/>
          <w:color w:val="000000"/>
          <w:sz w:val="20"/>
          <w:shd w:fill="FFFFFF" w:val="clear"/>
        </w:rPr>
        <w:t>for the year ended December 31, 2025, as compared to 8.2% for the ye</w:t>
      </w:r>
      <w:r>
        <w:rPr>
          <w:rFonts w:ascii="Times New Roman;serif" w:hAnsi="Times New Roman;serif"/>
          <w:b w:val="false"/>
          <w:color w:val="000000"/>
          <w:sz w:val="20"/>
        </w:rPr>
        <w:t>ar ended December 31, 2024.</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change in the effective tax rate for the </w:t>
      </w:r>
      <w:r>
        <w:rPr>
          <w:rFonts w:ascii="Times New Roman;serif" w:hAnsi="Times New Roman;serif"/>
          <w:b w:val="false"/>
          <w:color w:val="000000"/>
          <w:sz w:val="20"/>
          <w:shd w:fill="FFFFFF" w:val="clear"/>
        </w:rPr>
        <w:t>year ended December 31, 2025</w:t>
      </w:r>
      <w:r>
        <w:rPr>
          <w:color w:val="000000"/>
        </w:rPr>
        <w:t xml:space="preserve"> </w:t>
      </w:r>
      <w:r>
        <w:rPr>
          <w:rFonts w:ascii="Times New Roman;serif" w:hAnsi="Times New Roman;serif"/>
          <w:b w:val="false"/>
          <w:color w:val="000000"/>
          <w:sz w:val="20"/>
        </w:rPr>
        <w:t xml:space="preserve">compared to the prior year was primarily due to: (i) excluding certain foreign losses for which no tax benefit can be recognized in our worldwide effective tax rate calculation; (ii) non-deductible permanent items; (iii) state taxes; and (iv) changes to the valuation allowance. See </w:t>
      </w:r>
      <w:hyperlink w:anchor="ic1a494480e6146a1a6acab9187fe13be_190">
        <w:r>
          <w:rPr>
            <w:rStyle w:val="InternetLink"/>
            <w:rFonts w:ascii="Times New Roman;serif" w:hAnsi="Times New Roman;serif"/>
            <w:b w:val="false"/>
            <w:color w:val="0000FF"/>
            <w:sz w:val="20"/>
            <w:u w:val="single"/>
          </w:rPr>
          <w:t>Note 13, “Income Taxes”</w:t>
        </w:r>
      </w:hyperlink>
      <w:r>
        <w:rPr>
          <w:color w:val="000000"/>
        </w:rPr>
        <w:t xml:space="preserve"> </w:t>
      </w:r>
      <w:r>
        <w:rPr>
          <w:rFonts w:ascii="Times New Roman;serif" w:hAnsi="Times New Roman;serif"/>
          <w:b w:val="false"/>
          <w:color w:val="000000"/>
          <w:sz w:val="20"/>
        </w:rPr>
        <w:t>to the Consolidated Financial Statements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may vary each reporting period depending on, among other factors, the geographic and business mix of our earnings, changes to our valuation allowances, and the level of our tax credits. These and other factors, including our history and projections of pre-tax earnings, are considered in assessing the realizability of our net deferred tax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 was enacted. The impacts were limited to timing differences, including bonus depreciation, accelerated research and experimental expenses, and utilization of interest carryforwards, with no material effect on the Company’s effective tax rate. The enactment lowered current year cash taxes, and the resulting current year federal net operating loss and tax credit carryforwards are expected to be fully utilized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Segment comparison of the years ended December 31, 2025 and 2024</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Northeast Segment</w:t>
      </w:r>
    </w:p>
    <w:tbl>
      <w:tblPr>
        <w:tblW w:w="10205" w:type="dxa"/>
        <w:jc w:val="left"/>
        <w:tblInd w:w="0" w:type="dxa"/>
        <w:tblLayout w:type="fixed"/>
        <w:tblCellMar>
          <w:top w:w="28" w:type="dxa"/>
          <w:left w:w="28" w:type="dxa"/>
          <w:bottom w:w="28" w:type="dxa"/>
          <w:right w:w="28" w:type="dxa"/>
        </w:tblCellMar>
      </w:tblPr>
      <w:tblGrid>
        <w:gridCol w:w="656"/>
        <w:gridCol w:w="394"/>
        <w:gridCol w:w="396"/>
        <w:gridCol w:w="258"/>
        <w:gridCol w:w="253"/>
        <w:gridCol w:w="515"/>
        <w:gridCol w:w="114"/>
        <w:gridCol w:w="114"/>
        <w:gridCol w:w="114"/>
        <w:gridCol w:w="258"/>
        <w:gridCol w:w="253"/>
        <w:gridCol w:w="515"/>
        <w:gridCol w:w="114"/>
        <w:gridCol w:w="114"/>
        <w:gridCol w:w="114"/>
        <w:gridCol w:w="258"/>
        <w:gridCol w:w="253"/>
        <w:gridCol w:w="515"/>
        <w:gridCol w:w="109"/>
        <w:gridCol w:w="109"/>
        <w:gridCol w:w="109"/>
        <w:gridCol w:w="240"/>
        <w:gridCol w:w="583"/>
        <w:gridCol w:w="124"/>
        <w:gridCol w:w="109"/>
        <w:gridCol w:w="109"/>
        <w:gridCol w:w="109"/>
        <w:gridCol w:w="233"/>
        <w:gridCol w:w="605"/>
        <w:gridCol w:w="120"/>
        <w:gridCol w:w="109"/>
        <w:gridCol w:w="109"/>
        <w:gridCol w:w="109"/>
        <w:gridCol w:w="280"/>
        <w:gridCol w:w="179"/>
        <w:gridCol w:w="402"/>
        <w:gridCol w:w="111"/>
        <w:gridCol w:w="111"/>
        <w:gridCol w:w="111"/>
        <w:gridCol w:w="265"/>
        <w:gridCol w:w="185"/>
        <w:gridCol w:w="467"/>
      </w:tblGrid>
      <w:tr>
        <w:trPr/>
        <w:tc>
          <w:tcPr>
            <w:tcW w:w="6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bps Change</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144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bps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Northeast segment’s revenues for the year ended December 31, 2025 increased by $13.5 million over the prior year </w:t>
      </w:r>
      <w:r>
        <w:rPr>
          <w:rFonts w:ascii="Times New Roman;serif" w:hAnsi="Times New Roman;serif"/>
          <w:b w:val="false"/>
          <w:color w:val="000000"/>
          <w:sz w:val="20"/>
          <w:shd w:fill="FFFFFF" w:val="clear"/>
        </w:rPr>
        <w:t xml:space="preserve">despite weather events negatively impacting the segment. </w:t>
      </w:r>
      <w:r>
        <w:rPr>
          <w:rFonts w:ascii="Times New Roman;serif" w:hAnsi="Times New Roman;serif"/>
          <w:b w:val="false"/>
          <w:color w:val="000000"/>
          <w:sz w:val="20"/>
        </w:rPr>
        <w:t>Increases in revenue were primarily due to an increase in gaming revenues, particularly slots revenues, as well as an increase to food and beverage revenue.</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For the year ended December 31, 2025 the Northeast segment’s Adjusted EBITDAR decreased by $6.0 million as compared to the prior year, and Adjusted EBITDAR margin decreased to 28.7%, </w:t>
      </w:r>
      <w:r>
        <w:rPr>
          <w:rFonts w:ascii="Times New Roman;serif" w:hAnsi="Times New Roman;serif"/>
          <w:b w:val="false"/>
          <w:color w:val="000000"/>
          <w:sz w:val="20"/>
        </w:rPr>
        <w:t xml:space="preserve">primarily </w:t>
      </w:r>
      <w:r>
        <w:rPr>
          <w:rFonts w:ascii="Times New Roman;serif" w:hAnsi="Times New Roman;serif"/>
          <w:b w:val="false"/>
          <w:color w:val="000000"/>
          <w:sz w:val="20"/>
          <w:shd w:fill="FFFFFF" w:val="clear"/>
        </w:rPr>
        <w:t xml:space="preserve">due to </w:t>
      </w:r>
      <w:r>
        <w:rPr>
          <w:rFonts w:ascii="Times New Roman;serif" w:hAnsi="Times New Roman;serif"/>
          <w:b w:val="false"/>
          <w:color w:val="000000"/>
          <w:sz w:val="20"/>
        </w:rPr>
        <w:t>increases in gaming taxes and general and administrative expenses. Severe weather events in the fourth quarter of 2025 also negatively impacted our operations.</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South Segment</w:t>
      </w:r>
    </w:p>
    <w:tbl>
      <w:tblPr>
        <w:tblW w:w="10205" w:type="dxa"/>
        <w:jc w:val="left"/>
        <w:tblInd w:w="0" w:type="dxa"/>
        <w:tblLayout w:type="fixed"/>
        <w:tblCellMar>
          <w:top w:w="28" w:type="dxa"/>
          <w:left w:w="28" w:type="dxa"/>
          <w:bottom w:w="28" w:type="dxa"/>
          <w:right w:w="28" w:type="dxa"/>
        </w:tblCellMar>
      </w:tblPr>
      <w:tblGrid>
        <w:gridCol w:w="643"/>
        <w:gridCol w:w="376"/>
        <w:gridCol w:w="377"/>
        <w:gridCol w:w="259"/>
        <w:gridCol w:w="252"/>
        <w:gridCol w:w="516"/>
        <w:gridCol w:w="114"/>
        <w:gridCol w:w="114"/>
        <w:gridCol w:w="114"/>
        <w:gridCol w:w="259"/>
        <w:gridCol w:w="252"/>
        <w:gridCol w:w="516"/>
        <w:gridCol w:w="114"/>
        <w:gridCol w:w="114"/>
        <w:gridCol w:w="114"/>
        <w:gridCol w:w="259"/>
        <w:gridCol w:w="252"/>
        <w:gridCol w:w="516"/>
        <w:gridCol w:w="109"/>
        <w:gridCol w:w="109"/>
        <w:gridCol w:w="109"/>
        <w:gridCol w:w="231"/>
        <w:gridCol w:w="597"/>
        <w:gridCol w:w="119"/>
        <w:gridCol w:w="109"/>
        <w:gridCol w:w="109"/>
        <w:gridCol w:w="109"/>
        <w:gridCol w:w="231"/>
        <w:gridCol w:w="597"/>
        <w:gridCol w:w="119"/>
        <w:gridCol w:w="109"/>
        <w:gridCol w:w="109"/>
        <w:gridCol w:w="109"/>
        <w:gridCol w:w="280"/>
        <w:gridCol w:w="175"/>
        <w:gridCol w:w="391"/>
        <w:gridCol w:w="111"/>
        <w:gridCol w:w="111"/>
        <w:gridCol w:w="111"/>
        <w:gridCol w:w="271"/>
        <w:gridCol w:w="268"/>
        <w:gridCol w:w="451"/>
      </w:tblGrid>
      <w:tr>
        <w:trPr/>
        <w:tc>
          <w:tcPr>
            <w:tcW w:w="64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bps Change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bps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South segment’s revenues for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decreased by $1.9 million over the prior year, primarily due to a decrease in gaming revenues as increased competition negatively impacted several of our properties, partially offset by an increase in </w:t>
      </w:r>
      <w:r>
        <w:rPr>
          <w:rFonts w:ascii="Times New Roman;serif" w:hAnsi="Times New Roman;serif"/>
          <w:b w:val="false"/>
          <w:color w:val="000000"/>
          <w:sz w:val="20"/>
          <w:shd w:fill="FFFFFF" w:val="clear"/>
        </w:rPr>
        <w:t>revenue from non-gaming amenities</w:t>
      </w:r>
      <w:r>
        <w:rPr>
          <w:rFonts w:ascii="Times New Roman;serif" w:hAnsi="Times New Roman;serif"/>
          <w:b w:val="false"/>
          <w:color w:val="000000"/>
          <w:sz w:val="20"/>
        </w:rPr>
        <w:t>. The decrease in gaming revenues was offset by increased food, beverage, hotel, and other revenues, reflecting higher room availability and guest traffic following the completion of room renovations and remodeling at certain properties in 2025, as well as the reopening of select dining venues.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South segment’s Adjusted EBITDAR decreased by $31.6 million </w:t>
      </w:r>
      <w:r>
        <w:rPr>
          <w:rFonts w:ascii="Times New Roman;serif" w:hAnsi="Times New Roman;serif"/>
          <w:b w:val="false"/>
          <w:color w:val="000000"/>
          <w:sz w:val="20"/>
          <w:shd w:fill="FFFFFF" w:val="clear"/>
        </w:rPr>
        <w:t xml:space="preserve">as compared to the prior year, </w:t>
      </w:r>
      <w:r>
        <w:rPr>
          <w:rFonts w:ascii="Times New Roman;serif" w:hAnsi="Times New Roman;serif"/>
          <w:b w:val="false"/>
          <w:color w:val="000000"/>
          <w:sz w:val="20"/>
        </w:rPr>
        <w:t>and Adjusted EBITDAR margin decreased to 34.4%, primarily due to the decreases in gaming revenues discussed above, and increased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West Segment</w:t>
      </w:r>
    </w:p>
    <w:tbl>
      <w:tblPr>
        <w:tblW w:w="10205" w:type="dxa"/>
        <w:jc w:val="left"/>
        <w:tblInd w:w="0" w:type="dxa"/>
        <w:tblLayout w:type="fixed"/>
        <w:tblCellMar>
          <w:top w:w="28" w:type="dxa"/>
          <w:left w:w="28" w:type="dxa"/>
          <w:bottom w:w="28" w:type="dxa"/>
          <w:right w:w="28" w:type="dxa"/>
        </w:tblCellMar>
      </w:tblPr>
      <w:tblGrid>
        <w:gridCol w:w="695"/>
        <w:gridCol w:w="450"/>
        <w:gridCol w:w="452"/>
        <w:gridCol w:w="288"/>
        <w:gridCol w:w="223"/>
        <w:gridCol w:w="408"/>
        <w:gridCol w:w="116"/>
        <w:gridCol w:w="116"/>
        <w:gridCol w:w="116"/>
        <w:gridCol w:w="288"/>
        <w:gridCol w:w="223"/>
        <w:gridCol w:w="408"/>
        <w:gridCol w:w="116"/>
        <w:gridCol w:w="116"/>
        <w:gridCol w:w="116"/>
        <w:gridCol w:w="288"/>
        <w:gridCol w:w="223"/>
        <w:gridCol w:w="408"/>
        <w:gridCol w:w="109"/>
        <w:gridCol w:w="109"/>
        <w:gridCol w:w="109"/>
        <w:gridCol w:w="250"/>
        <w:gridCol w:w="606"/>
        <w:gridCol w:w="129"/>
        <w:gridCol w:w="109"/>
        <w:gridCol w:w="109"/>
        <w:gridCol w:w="109"/>
        <w:gridCol w:w="240"/>
        <w:gridCol w:w="630"/>
        <w:gridCol w:w="124"/>
        <w:gridCol w:w="109"/>
        <w:gridCol w:w="109"/>
        <w:gridCol w:w="109"/>
        <w:gridCol w:w="280"/>
        <w:gridCol w:w="181"/>
        <w:gridCol w:w="437"/>
        <w:gridCol w:w="112"/>
        <w:gridCol w:w="112"/>
        <w:gridCol w:w="112"/>
        <w:gridCol w:w="265"/>
        <w:gridCol w:w="195"/>
        <w:gridCol w:w="501"/>
      </w:tblGrid>
      <w:tr>
        <w:trPr/>
        <w:tc>
          <w:tcPr>
            <w:tcW w:w="69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bps Change</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bps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The West segment’s revenues for the year ended December 31, 2025 increased by $17.9 million over the prior year, </w:t>
      </w:r>
      <w:r>
        <w:rPr>
          <w:rFonts w:ascii="Times New Roman;serif" w:hAnsi="Times New Roman;serif"/>
          <w:b w:val="false"/>
          <w:color w:val="000000"/>
          <w:sz w:val="20"/>
        </w:rPr>
        <w:t xml:space="preserve">primarily due to </w:t>
      </w:r>
      <w:r>
        <w:rPr>
          <w:rFonts w:ascii="Times New Roman;serif" w:hAnsi="Times New Roman;serif"/>
          <w:b w:val="false"/>
          <w:color w:val="000000"/>
          <w:sz w:val="20"/>
          <w:shd w:fill="FFFFFF" w:val="clear"/>
        </w:rPr>
        <w:t xml:space="preserve">increased gaming revenues, </w:t>
      </w:r>
      <w:r>
        <w:rPr>
          <w:rFonts w:ascii="Times New Roman;serif" w:hAnsi="Times New Roman;serif"/>
          <w:b w:val="false"/>
          <w:color w:val="000000"/>
          <w:sz w:val="20"/>
        </w:rPr>
        <w:t xml:space="preserve">as well as an increase to food and beverage revenue.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also benefited from the opening of the second hotel tower at M Resort on December 1, 2025.</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 ended December 31, 2025, the West segment’s Adjusted EBITDAR increased by $10.1 million as compared to the prior year, and Adjusted EBITDAR margin increased to 36.4%, primarily due to the increases in gaming revenues discussed above.</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Midwest Segment</w:t>
      </w:r>
    </w:p>
    <w:tbl>
      <w:tblPr>
        <w:tblW w:w="10205" w:type="dxa"/>
        <w:jc w:val="left"/>
        <w:tblInd w:w="0" w:type="dxa"/>
        <w:tblLayout w:type="fixed"/>
        <w:tblCellMar>
          <w:top w:w="28" w:type="dxa"/>
          <w:left w:w="28" w:type="dxa"/>
          <w:bottom w:w="28" w:type="dxa"/>
          <w:right w:w="28" w:type="dxa"/>
        </w:tblCellMar>
      </w:tblPr>
      <w:tblGrid>
        <w:gridCol w:w="663"/>
        <w:gridCol w:w="405"/>
        <w:gridCol w:w="406"/>
        <w:gridCol w:w="258"/>
        <w:gridCol w:w="253"/>
        <w:gridCol w:w="515"/>
        <w:gridCol w:w="115"/>
        <w:gridCol w:w="115"/>
        <w:gridCol w:w="115"/>
        <w:gridCol w:w="258"/>
        <w:gridCol w:w="253"/>
        <w:gridCol w:w="515"/>
        <w:gridCol w:w="115"/>
        <w:gridCol w:w="115"/>
        <w:gridCol w:w="115"/>
        <w:gridCol w:w="258"/>
        <w:gridCol w:w="253"/>
        <w:gridCol w:w="515"/>
        <w:gridCol w:w="109"/>
        <w:gridCol w:w="109"/>
        <w:gridCol w:w="109"/>
        <w:gridCol w:w="234"/>
        <w:gridCol w:w="610"/>
        <w:gridCol w:w="121"/>
        <w:gridCol w:w="109"/>
        <w:gridCol w:w="109"/>
        <w:gridCol w:w="109"/>
        <w:gridCol w:w="246"/>
        <w:gridCol w:w="518"/>
        <w:gridCol w:w="127"/>
        <w:gridCol w:w="109"/>
        <w:gridCol w:w="109"/>
        <w:gridCol w:w="109"/>
        <w:gridCol w:w="280"/>
        <w:gridCol w:w="181"/>
        <w:gridCol w:w="409"/>
        <w:gridCol w:w="111"/>
        <w:gridCol w:w="111"/>
        <w:gridCol w:w="111"/>
        <w:gridCol w:w="265"/>
        <w:gridCol w:w="187"/>
        <w:gridCol w:w="471"/>
      </w:tblGrid>
      <w:tr>
        <w:trPr/>
        <w:tc>
          <w:tcPr>
            <w:tcW w:w="66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bps Change</w:t>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bps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The Midwest segment’s revenues for the year ended December 31, 2025 increased by $9.2 million compared to the prior year</w:t>
      </w:r>
      <w:r>
        <w:rPr>
          <w:rFonts w:ascii="Times New Roman;serif" w:hAnsi="Times New Roman;serif"/>
          <w:b w:val="false"/>
          <w:color w:val="000000"/>
          <w:sz w:val="20"/>
        </w:rPr>
        <w:t>, primarily due to an increase in gaming revenues driven by the relocation of Joliet from a riverboat casino operation to a new land-based facility that opened on August 11, 2025.</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For the year ended December 31, 2025, the Midwest segment’s Adjusted EBITDAR decreased by $12.2 million as compared to the prior year, and Adjusted EBITDAR margin decreased to 40.2%, </w:t>
      </w:r>
      <w:r>
        <w:rPr>
          <w:rFonts w:ascii="Times New Roman;serif" w:hAnsi="Times New Roman;serif"/>
          <w:b w:val="false"/>
          <w:color w:val="000000"/>
          <w:sz w:val="20"/>
        </w:rPr>
        <w:t xml:space="preserve">primarily </w:t>
      </w:r>
      <w:r>
        <w:rPr>
          <w:rFonts w:ascii="Times New Roman;serif" w:hAnsi="Times New Roman;serif"/>
          <w:b w:val="false"/>
          <w:color w:val="000000"/>
          <w:sz w:val="20"/>
          <w:shd w:fill="FFFFFF" w:val="clear"/>
        </w:rPr>
        <w:t xml:space="preserve">due to increases in labor costs and </w:t>
      </w:r>
      <w:r>
        <w:rPr>
          <w:rFonts w:ascii="Times New Roman;serif" w:hAnsi="Times New Roman;serif"/>
          <w:b w:val="false"/>
          <w:color w:val="000000"/>
          <w:sz w:val="20"/>
        </w:rPr>
        <w:t>general and administrative expenses. Severe weather events in the fourth quarter of 2025 also negatively impacted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Interactive Segment</w:t>
      </w:r>
    </w:p>
    <w:tbl>
      <w:tblPr>
        <w:tblW w:w="10205" w:type="dxa"/>
        <w:jc w:val="left"/>
        <w:tblInd w:w="0" w:type="dxa"/>
        <w:tblLayout w:type="fixed"/>
        <w:tblCellMar>
          <w:top w:w="28" w:type="dxa"/>
          <w:left w:w="28" w:type="dxa"/>
          <w:bottom w:w="28" w:type="dxa"/>
          <w:right w:w="28" w:type="dxa"/>
        </w:tblCellMar>
      </w:tblPr>
      <w:tblGrid>
        <w:gridCol w:w="586"/>
        <w:gridCol w:w="341"/>
        <w:gridCol w:w="342"/>
        <w:gridCol w:w="271"/>
        <w:gridCol w:w="265"/>
        <w:gridCol w:w="516"/>
        <w:gridCol w:w="112"/>
        <w:gridCol w:w="112"/>
        <w:gridCol w:w="112"/>
        <w:gridCol w:w="288"/>
        <w:gridCol w:w="247"/>
        <w:gridCol w:w="458"/>
        <w:gridCol w:w="112"/>
        <w:gridCol w:w="112"/>
        <w:gridCol w:w="112"/>
        <w:gridCol w:w="289"/>
        <w:gridCol w:w="246"/>
        <w:gridCol w:w="459"/>
        <w:gridCol w:w="109"/>
        <w:gridCol w:w="109"/>
        <w:gridCol w:w="109"/>
        <w:gridCol w:w="224"/>
        <w:gridCol w:w="654"/>
        <w:gridCol w:w="115"/>
        <w:gridCol w:w="109"/>
        <w:gridCol w:w="109"/>
        <w:gridCol w:w="109"/>
        <w:gridCol w:w="224"/>
        <w:gridCol w:w="654"/>
        <w:gridCol w:w="115"/>
        <w:gridCol w:w="109"/>
        <w:gridCol w:w="109"/>
        <w:gridCol w:w="109"/>
        <w:gridCol w:w="280"/>
        <w:gridCol w:w="239"/>
        <w:gridCol w:w="363"/>
        <w:gridCol w:w="110"/>
        <w:gridCol w:w="110"/>
        <w:gridCol w:w="110"/>
        <w:gridCol w:w="308"/>
        <w:gridCol w:w="308"/>
        <w:gridCol w:w="430"/>
      </w:tblGrid>
      <w:tr>
        <w:trPr/>
        <w:tc>
          <w:tcPr>
            <w:tcW w:w="58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bps Change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Food, beverage, hotel, and other</w:t>
            </w: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 “Food, beverage, hotel, and other” only includes “other” revenue.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segment’s revenues for the year ended December 31, 2025 increased by $342.7 million, compared to the prior year, primarily due to an increase in gaming revenues and other revenues. Gaming revenues were positively impacted by growth in our </w:t>
      </w:r>
      <w:r>
        <w:rPr>
          <w:rFonts w:ascii="Times New Roman;serif" w:hAnsi="Times New Roman;serif"/>
          <w:b w:val="false"/>
          <w:color w:val="000000"/>
          <w:sz w:val="20"/>
          <w:shd w:fill="FFFFFF" w:val="clear"/>
        </w:rPr>
        <w:t>Hollywood-branded iCasino and theScore Bet iCasino apps, and higher slot product mix improving hold rates. O</w:t>
      </w:r>
      <w:r>
        <w:rPr>
          <w:rFonts w:ascii="Times New Roman;serif" w:hAnsi="Times New Roman;serif"/>
          <w:b w:val="false"/>
          <w:color w:val="000000"/>
          <w:sz w:val="20"/>
        </w:rPr>
        <w:t xml:space="preserve">nline sports betting </w:t>
      </w:r>
      <w:r>
        <w:rPr>
          <w:rFonts w:ascii="Times New Roman;serif" w:hAnsi="Times New Roman;serif"/>
          <w:b w:val="false"/>
          <w:color w:val="000000"/>
          <w:sz w:val="20"/>
          <w:shd w:fill="FFFFFF" w:val="clear"/>
        </w:rPr>
        <w:t xml:space="preserve">growth was </w:t>
      </w:r>
      <w:r>
        <w:rPr>
          <w:rFonts w:ascii="Times New Roman;serif" w:hAnsi="Times New Roman;serif"/>
          <w:b w:val="false"/>
          <w:color w:val="000000"/>
          <w:sz w:val="20"/>
        </w:rPr>
        <w:t xml:space="preserve">driven by ongoing product enhancements. </w:t>
      </w:r>
      <w:r>
        <w:rPr>
          <w:rFonts w:ascii="Times New Roman;serif" w:hAnsi="Times New Roman;serif"/>
          <w:b w:val="false"/>
          <w:color w:val="000000"/>
          <w:sz w:val="20"/>
          <w:shd w:fill="FFFFFF" w:val="clear"/>
        </w:rPr>
        <w:t>Other</w:t>
      </w:r>
      <w:r>
        <w:rPr>
          <w:color w:val="000000"/>
        </w:rPr>
        <w:t xml:space="preserve"> </w:t>
      </w:r>
      <w:r>
        <w:rPr>
          <w:rFonts w:ascii="Times New Roman;serif" w:hAnsi="Times New Roman;serif"/>
          <w:b w:val="false"/>
          <w:color w:val="000000"/>
          <w:sz w:val="20"/>
        </w:rPr>
        <w:t xml:space="preserve">revenues are inclusive of gaming tax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 xml:space="preserve">partners for online sports betting and iCasino market access </w:t>
      </w:r>
      <w:r>
        <w:rPr>
          <w:rFonts w:ascii="Times New Roman;serif" w:hAnsi="Times New Roman;serif"/>
          <w:b w:val="false"/>
          <w:color w:val="000000"/>
          <w:sz w:val="20"/>
        </w:rPr>
        <w:t>of $588.3 million for the year ended December 31, 2025 compared to $435.6 million for the year ended December 31, 2024.</w:t>
      </w:r>
    </w:p>
    <w:p>
      <w:pPr>
        <w:pStyle w:val="TextBody"/>
        <w:bidi w:val="0"/>
        <w:spacing w:lineRule="auto" w:line="288" w:before="0" w:after="200"/>
        <w:ind w:left="0" w:right="0" w:firstLine="360"/>
        <w:jc w:val="left"/>
        <w:rPr/>
      </w:pPr>
      <w:r>
        <w:rPr>
          <w:rFonts w:ascii="Times New Roman;serif" w:hAnsi="Times New Roman;serif"/>
          <w:b w:val="false"/>
          <w:color w:val="000000"/>
          <w:sz w:val="20"/>
        </w:rPr>
        <w:t>For the year ended December 31, 2025, the Interactive segment’s Adjusted EBITDA and Adjusted EBITDA margin increased</w:t>
      </w:r>
      <w:r>
        <w:rPr>
          <w:color w:val="000000"/>
          <w:shd w:fill="FFFFFF" w:val="clear"/>
        </w:rPr>
        <w:t xml:space="preserve"> </w:t>
      </w:r>
      <w:r>
        <w:rPr>
          <w:rFonts w:ascii="Times New Roman;serif" w:hAnsi="Times New Roman;serif"/>
          <w:b w:val="false"/>
          <w:color w:val="000000"/>
          <w:sz w:val="20"/>
          <w:shd w:fill="FFFFFF" w:val="clear"/>
        </w:rPr>
        <w:t>compared to the prior year, primarily due to the increase in gaming revenues, discussed above, and a decrease in marketing expense.</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Other</w:t>
      </w:r>
    </w:p>
    <w:tbl>
      <w:tblPr>
        <w:tblW w:w="10205" w:type="dxa"/>
        <w:jc w:val="left"/>
        <w:tblInd w:w="0" w:type="dxa"/>
        <w:tblLayout w:type="fixed"/>
        <w:tblCellMar>
          <w:top w:w="28" w:type="dxa"/>
          <w:left w:w="28" w:type="dxa"/>
          <w:bottom w:w="28" w:type="dxa"/>
          <w:right w:w="28" w:type="dxa"/>
        </w:tblCellMar>
      </w:tblPr>
      <w:tblGrid>
        <w:gridCol w:w="680"/>
        <w:gridCol w:w="429"/>
        <w:gridCol w:w="431"/>
        <w:gridCol w:w="211"/>
        <w:gridCol w:w="650"/>
        <w:gridCol w:w="109"/>
        <w:gridCol w:w="109"/>
        <w:gridCol w:w="109"/>
        <w:gridCol w:w="109"/>
        <w:gridCol w:w="211"/>
        <w:gridCol w:w="650"/>
        <w:gridCol w:w="109"/>
        <w:gridCol w:w="109"/>
        <w:gridCol w:w="109"/>
        <w:gridCol w:w="109"/>
        <w:gridCol w:w="211"/>
        <w:gridCol w:w="650"/>
        <w:gridCol w:w="109"/>
        <w:gridCol w:w="109"/>
        <w:gridCol w:w="109"/>
        <w:gridCol w:w="109"/>
        <w:gridCol w:w="237"/>
        <w:gridCol w:w="620"/>
        <w:gridCol w:w="122"/>
        <w:gridCol w:w="109"/>
        <w:gridCol w:w="109"/>
        <w:gridCol w:w="109"/>
        <w:gridCol w:w="250"/>
        <w:gridCol w:w="531"/>
        <w:gridCol w:w="129"/>
        <w:gridCol w:w="109"/>
        <w:gridCol w:w="109"/>
        <w:gridCol w:w="109"/>
        <w:gridCol w:w="280"/>
        <w:gridCol w:w="247"/>
        <w:gridCol w:w="424"/>
        <w:gridCol w:w="111"/>
        <w:gridCol w:w="111"/>
        <w:gridCol w:w="111"/>
        <w:gridCol w:w="265"/>
        <w:gridCol w:w="191"/>
        <w:gridCol w:w="491"/>
      </w:tblGrid>
      <w:tr>
        <w:trPr/>
        <w:tc>
          <w:tcPr>
            <w:tcW w:w="68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bps Change</w:t>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Other consists of the Company’s stand-alone racing operations, as well as corporate overhead costs, which primarily includes certain expenses such as payroll, professional fees, travel expenses, and other general and administrative expenses that do not directly relate to or have not otherwise been allocated. Revenues decreased </w:t>
      </w:r>
      <w:r>
        <w:rPr>
          <w:rFonts w:ascii="Times New Roman;serif" w:hAnsi="Times New Roman;serif"/>
          <w:b w:val="false"/>
          <w:color w:val="000000"/>
          <w:sz w:val="20"/>
        </w:rPr>
        <w:t>compared to the prior ye</w:t>
      </w:r>
      <w:r>
        <w:rPr>
          <w:rFonts w:ascii="Times New Roman;serif" w:hAnsi="Times New Roman;serif"/>
          <w:b w:val="false"/>
          <w:color w:val="000000"/>
          <w:sz w:val="20"/>
          <w:shd w:fill="FFFFFF" w:val="clear"/>
        </w:rPr>
        <w:t>ar, primarily due to fluctuations in racing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Corporate overhead expenses were $134.8 million for the year ended December 31, 2025 compared to $104.8 million for the year ended December 31, 2024. Corporate overhead expenses for the year ended December 31, 2025 include $22.4 million of legal and advisory costs related to activist activity in connection with our 2025 Annual Meeting.</w:t>
      </w:r>
    </w:p>
    <w:p>
      <w:pPr>
        <w:pStyle w:val="TextBody"/>
        <w:bidi w:val="0"/>
        <w:spacing w:lineRule="auto" w:line="288" w:before="0" w:after="200"/>
        <w:ind w:left="0" w:right="0" w:firstLine="360"/>
        <w:jc w:val="left"/>
        <w:rPr/>
      </w:pPr>
      <w:r>
        <w:rPr>
          <w:rFonts w:ascii="Times New Roman;serif" w:hAnsi="Times New Roman;serif"/>
          <w:b w:val="false"/>
          <w:color w:val="000000"/>
          <w:sz w:val="20"/>
        </w:rPr>
        <w:t>Changes in Adjusted EBITDAR</w:t>
      </w:r>
      <w:r>
        <w:rPr>
          <w:color w:val="000000"/>
          <w:shd w:fill="FFFFFF" w:val="clear"/>
        </w:rPr>
        <w:t xml:space="preserve"> </w:t>
      </w:r>
      <w:r>
        <w:rPr>
          <w:rFonts w:ascii="Times New Roman;serif" w:hAnsi="Times New Roman;serif"/>
          <w:b w:val="false"/>
          <w:color w:val="000000"/>
          <w:sz w:val="20"/>
          <w:shd w:fill="FFFFFF" w:val="clear"/>
        </w:rPr>
        <w:t xml:space="preserve">for the year ended December 31, 2025 </w:t>
      </w:r>
      <w:r>
        <w:rPr>
          <w:rFonts w:ascii="Times New Roman;serif" w:hAnsi="Times New Roman;serif"/>
          <w:b w:val="false"/>
          <w:color w:val="000000"/>
          <w:sz w:val="20"/>
        </w:rPr>
        <w:t>primarily relate to increased general and administrative costs, inclusive of the $22.4 million of legal and advisory costs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Reportable Segment Measures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as described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to our Consolidated Financial Statements, non-cash gains/losses associated with partial and step acquisitions as measured in accordance with ASC Topic 805, “Business Combinations,”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income taxes, depreciation and amortization, and stock-based compensation expense) added back for Barstool Sports (prior to our acquisition of the remaining 64% of Barstool common stock on February 17, 2023) and our Kansas Entertainment, LLC joint venture. Segment Adjusted EBITDAR margin is Segment Adjusted EBITDAR divided by related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i/>
          <w:color w:val="000000"/>
          <w:sz w:val="20"/>
        </w:rPr>
      </w:pPr>
      <w:r>
        <w:rPr>
          <w:rFonts w:ascii="Times New Roman;serif" w:hAnsi="Times New Roman;serif"/>
          <w:b/>
          <w:i/>
          <w:color w:val="000000"/>
          <w:sz w:val="20"/>
        </w:rPr>
        <w:t>Non-GAAP Financial Measure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Use and Definitions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GAAP financial measures, management uses Consolidated Adjusted EBITDA as a non-GAAP financial measure. This non-GAAP financial measure should not be considered a substitute for, nor superior to, financial results and measures determined or calculated in accordance with GAAP. This non-GAAP financial measure is not calculated in the same manner by all companies and, accordingly, may not be an appropriate measure of comparing performance among different companies.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business, non-cash gains/losses associated with REIT transactions as described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to our Consolidated Financial Statements, non-cash gains/losses associated with partial and step acquisitions as measured in accordance with ASC Topic 805, “Business Combinations,” and other. Consolidated Adjusted EBITDA is inclusive of income or loss from unconsolidated affiliates, with our share of non-operating items (such as interest expense, net, income taxes, depreciation and amortization, and stock-based compensation expense) added back for Barstool Sports (prior to our acquisition of the remaining 64% of Barstool common stock on February 17, 2023) and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Reconciliation of GAAP Financial Measures to Non-GAAP Financial Measure</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 reconciliation of net loss, which is determined in accordance with GAAP, to Consolidated Adjusted EBITDA, which is a non-GAAP financial measure:</w:t>
      </w:r>
    </w:p>
    <w:tbl>
      <w:tblPr>
        <w:tblW w:w="8472" w:type="dxa"/>
        <w:jc w:val="left"/>
        <w:tblInd w:w="0" w:type="dxa"/>
        <w:tblLayout w:type="fixed"/>
        <w:tblCellMar>
          <w:top w:w="28" w:type="dxa"/>
          <w:left w:w="28" w:type="dxa"/>
          <w:bottom w:w="28" w:type="dxa"/>
          <w:right w:w="28" w:type="dxa"/>
        </w:tblCellMar>
      </w:tblPr>
      <w:tblGrid>
        <w:gridCol w:w="1609"/>
        <w:gridCol w:w="1420"/>
        <w:gridCol w:w="1426"/>
        <w:gridCol w:w="312"/>
        <w:gridCol w:w="344"/>
        <w:gridCol w:w="346"/>
        <w:gridCol w:w="161"/>
        <w:gridCol w:w="161"/>
        <w:gridCol w:w="161"/>
        <w:gridCol w:w="312"/>
        <w:gridCol w:w="344"/>
        <w:gridCol w:w="346"/>
        <w:gridCol w:w="161"/>
        <w:gridCol w:w="161"/>
        <w:gridCol w:w="161"/>
        <w:gridCol w:w="312"/>
        <w:gridCol w:w="304"/>
        <w:gridCol w:w="431"/>
      </w:tblGrid>
      <w:tr>
        <w:trPr/>
        <w:tc>
          <w:tcPr>
            <w:tcW w:w="16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(dollars in millions)</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Barstool Acquisition, net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REIT transactions, net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financing arrangement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Barstool</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Cash-settled stock-based award variance </w:t>
            </w:r>
            <w:r>
              <w:rPr>
                <w:rFonts w:ascii="Times New Roman;serif" w:hAnsi="Times New Roman;serif"/>
                <w:b w:val="false"/>
                <w:color w:val="000000"/>
                <w:sz w:val="13"/>
              </w:rPr>
              <w:t>(1)(2)</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disposal of assets </w:t>
            </w:r>
            <w:r>
              <w:rPr>
                <w:rFonts w:ascii="Times New Roman;serif" w:hAnsi="Times New Roman;serif"/>
                <w:b w:val="false"/>
                <w:color w:val="000000"/>
                <w:sz w:val="13"/>
              </w:rPr>
              <w:t>(1)</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Pre-opening expenses </w:t>
            </w:r>
            <w:r>
              <w:rPr>
                <w:rFonts w:ascii="Times New Roman;serif" w:hAnsi="Times New Roman;serif"/>
                <w:b w:val="false"/>
                <w:color w:val="000000"/>
                <w:sz w:val="13"/>
              </w:rPr>
              <w:t>(1)</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(3)</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(4)</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(1)(5)</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w:t>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8"/>
        </w:rPr>
        <w:t>)    </w:t>
      </w:r>
      <w:r>
        <w:rPr>
          <w:rFonts w:ascii="Times New Roman;serif" w:hAnsi="Times New Roman;serif"/>
          <w:b w:val="false"/>
          <w:color w:val="000000"/>
          <w:sz w:val="16"/>
        </w:rPr>
        <w:t>These items are included in “General and administrative” within the Company’s Consolidated Statements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    For the year ended December 31, 2025, impairment charges of $120.3 million and $825.0 million relate to our retail segments and Interactive segment, respectively. For the year ended December 31, 2024, impairment charges included $89.1 million in our Northeast, South, and Midwest segments. For the year ended December 31, 2023, impairment charges related to our Northeast Segment. See Note </w:t>
      </w:r>
      <w:hyperlink w:anchor="ic1a494480e6146a1a6acab9187fe13be_169">
        <w:r>
          <w:rPr>
            <w:rStyle w:val="InternetLink"/>
            <w:rFonts w:ascii="Times New Roman;serif" w:hAnsi="Times New Roman;serif"/>
            <w:b w:val="false"/>
            <w:color w:val="0000FF"/>
            <w:sz w:val="16"/>
            <w:u w:val="single"/>
          </w:rPr>
          <w:t>8, “Goodwill and Other Intangible Assets.”</w:t>
        </w:r>
      </w:hyperlink>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(4)    For the years ended December 31, 2025 and 2024, consists primarily of depreciation expense associated with our Kansas Entertainment joint venture. The year ended December 31, 2023 primarily consisted of interest expense, net, income taxes, depreciation and amortization, and stock-based compensation expense associated with Barstool prior to us acquiring the remaining 64% of Barstool common stock (see </w:t>
      </w:r>
      <w:hyperlink w:anchor="ic1a494480e6146a1a6acab9187fe13be_160">
        <w:r>
          <w:rPr>
            <w:rStyle w:val="InternetLink"/>
            <w:rFonts w:ascii="Times New Roman;serif" w:hAnsi="Times New Roman;serif"/>
            <w:b w:val="false"/>
            <w:color w:val="0000FF"/>
            <w:sz w:val="16"/>
            <w:u w:val="single"/>
          </w:rPr>
          <w:t>Note 5, “Acquisitions and Dispositions”</w:t>
        </w:r>
      </w:hyperlink>
      <w:r>
        <w:rPr>
          <w:rFonts w:ascii="Times New Roman;serif" w:hAnsi="Times New Roman;serif"/>
          <w:b w:val="false"/>
          <w:color w:val="000000"/>
          <w:sz w:val="16"/>
        </w:rPr>
        <w:t>) and our Kansas Entertainment joint venture.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Consists primarily of non-recurring transaction costs, insurance recoveries, net of deductible charges, and prior to August 1, 2024, finance transformation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 We currently believe that our operating cash flow and other sources of liquidity, as described herein, will be sufficient to meet our liquidity needs on a short and long-term basis.</w:t>
      </w:r>
    </w:p>
    <w:tbl>
      <w:tblPr>
        <w:tblW w:w="10205" w:type="dxa"/>
        <w:jc w:val="left"/>
        <w:tblInd w:w="0" w:type="dxa"/>
        <w:tblLayout w:type="fixed"/>
        <w:tblCellMar>
          <w:top w:w="28" w:type="dxa"/>
          <w:left w:w="28" w:type="dxa"/>
          <w:bottom w:w="28" w:type="dxa"/>
          <w:right w:w="28" w:type="dxa"/>
        </w:tblCellMar>
      </w:tblPr>
      <w:tblGrid>
        <w:gridCol w:w="622"/>
        <w:gridCol w:w="413"/>
        <w:gridCol w:w="415"/>
        <w:gridCol w:w="211"/>
        <w:gridCol w:w="643"/>
        <w:gridCol w:w="109"/>
        <w:gridCol w:w="109"/>
        <w:gridCol w:w="109"/>
        <w:gridCol w:w="109"/>
        <w:gridCol w:w="211"/>
        <w:gridCol w:w="643"/>
        <w:gridCol w:w="109"/>
        <w:gridCol w:w="109"/>
        <w:gridCol w:w="109"/>
        <w:gridCol w:w="109"/>
        <w:gridCol w:w="211"/>
        <w:gridCol w:w="643"/>
        <w:gridCol w:w="109"/>
        <w:gridCol w:w="109"/>
        <w:gridCol w:w="109"/>
        <w:gridCol w:w="109"/>
        <w:gridCol w:w="226"/>
        <w:gridCol w:w="661"/>
        <w:gridCol w:w="116"/>
        <w:gridCol w:w="109"/>
        <w:gridCol w:w="109"/>
        <w:gridCol w:w="109"/>
        <w:gridCol w:w="226"/>
        <w:gridCol w:w="661"/>
        <w:gridCol w:w="116"/>
        <w:gridCol w:w="109"/>
        <w:gridCol w:w="109"/>
        <w:gridCol w:w="109"/>
        <w:gridCol w:w="282"/>
        <w:gridCol w:w="256"/>
        <w:gridCol w:w="379"/>
        <w:gridCol w:w="109"/>
        <w:gridCol w:w="109"/>
        <w:gridCol w:w="109"/>
        <w:gridCol w:w="271"/>
        <w:gridCol w:w="267"/>
        <w:gridCol w:w="443"/>
      </w:tblGrid>
      <w:tr>
        <w:trPr/>
        <w:tc>
          <w:tcPr>
            <w:tcW w:w="6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(dollars in millions)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Cash Flow</w:t>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Trends in our operating cash flows tend to follow trends in operating income, excluding non-cash charges, but can be affected by changes in working capital, the timing of significant interest payments, tax payments or refunds, and distributions from unconsolidated affiliates. Net cash provided by operating activities increased by $148.9 million for the year ended December 31, 2025 primarily due to an increase in Adjusted EBITDAR from our Interactive segment, partially offset by a decrease in Segment Adjusted EBITDAR from our retail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Investing Cash Flow</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Cash used in investing activities for the year ended December 31, 2025 of $351.1 million primarily relates to capital expenditures of $647.7 million, partially offset by proceeds of $280.0 million</w:t>
      </w:r>
      <w:r>
        <w:rPr>
          <w:color w:val="000000"/>
        </w:rPr>
        <w:t xml:space="preserve"> </w:t>
      </w:r>
      <w:r>
        <w:rPr>
          <w:rFonts w:ascii="Times New Roman;serif" w:hAnsi="Times New Roman;serif"/>
          <w:b w:val="false"/>
          <w:color w:val="000000"/>
          <w:sz w:val="20"/>
          <w:shd w:fill="FFFFFF" w:val="clear"/>
        </w:rPr>
        <w:t>from sale-and-leaseback transactions in conjunction with our development projects. For the year ended December 31, 2024, cash used in investing activities of $541.2 million</w:t>
      </w:r>
      <w:r>
        <w:rPr>
          <w:color w:val="000000"/>
        </w:rPr>
        <w:t xml:space="preserve"> </w:t>
      </w:r>
      <w:r>
        <w:rPr>
          <w:rFonts w:ascii="Times New Roman;serif" w:hAnsi="Times New Roman;serif"/>
          <w:b w:val="false"/>
          <w:color w:val="000000"/>
          <w:sz w:val="20"/>
          <w:shd w:fill="FFFFFF" w:val="clear"/>
        </w:rPr>
        <w:t xml:space="preserve">was primarily related to </w:t>
      </w:r>
      <w:r>
        <w:rPr>
          <w:rFonts w:ascii="Times New Roman;serif" w:hAnsi="Times New Roman;serif"/>
          <w:b w:val="false"/>
          <w:color w:val="000000"/>
          <w:sz w:val="20"/>
        </w:rPr>
        <w:t xml:space="preserve">capital expenditures of </w:t>
      </w:r>
      <w:r>
        <w:rPr>
          <w:rFonts w:ascii="Times New Roman;serif" w:hAnsi="Times New Roman;serif"/>
          <w:b w:val="false"/>
          <w:color w:val="000000"/>
          <w:sz w:val="20"/>
          <w:shd w:fill="FFFFFF" w:val="clear"/>
        </w:rPr>
        <w:t>$482.7 million</w:t>
      </w:r>
      <w:r>
        <w:rPr>
          <w:rFonts w:ascii="Times New Roman;serif" w:hAnsi="Times New Roman;serif"/>
          <w:b w:val="false"/>
          <w:color w:val="000000"/>
          <w:sz w:val="20"/>
        </w:rPr>
        <w:t>.</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are accounted for as either project capital (new facilities or expansions) or maintenance capital (replacement) which is inclusive of projects such as our retail sportsbooks, our cashless, cardless and contactless technology, and hotel renovations. Cash provided by operating activities, as well as cash available under our Amended Revolving Credit Facility, was available to fund our capital expenditures for the years ended December 31, 2025, 2024, and 2023, as applicable. </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Capital expenditures for the year ended December 31, 2025 were $647.7 million, inclusive of </w:t>
      </w:r>
      <w:r>
        <w:rPr>
          <w:rFonts w:ascii="Times New Roman;serif" w:hAnsi="Times New Roman;serif"/>
          <w:b w:val="false"/>
          <w:color w:val="000000"/>
          <w:sz w:val="20"/>
        </w:rPr>
        <w:t>$239.3 million of maintenance capital expenditures and $408.4 million of project capital expenditures. For the year ending December 31, 2026, our anticipated maintenance capital expenditures are approximately $220.0 million, which include c</w:t>
      </w:r>
      <w:r>
        <w:rPr>
          <w:rFonts w:ascii="Times New Roman;serif" w:hAnsi="Times New Roman;serif"/>
          <w:b w:val="false"/>
          <w:color w:val="000000"/>
          <w:sz w:val="20"/>
          <w:shd w:fill="FFFFFF" w:val="clear"/>
        </w:rPr>
        <w:t>apital expenditures required</w:t>
      </w:r>
      <w:r>
        <w:rPr>
          <w:color w:val="000000"/>
        </w:rPr>
        <w:t xml:space="preserve"> </w:t>
      </w:r>
      <w:r>
        <w:rPr>
          <w:rFonts w:ascii="Times New Roman;serif" w:hAnsi="Times New Roman;serif"/>
          <w:b w:val="false"/>
          <w:color w:val="000000"/>
          <w:sz w:val="20"/>
        </w:rPr>
        <w:t>under our Triple Net Leases, which require us to spend a specified percentage of total revenues. Additionally f</w:t>
      </w:r>
      <w:r>
        <w:rPr>
          <w:rFonts w:ascii="Times New Roman;serif" w:hAnsi="Times New Roman;serif"/>
          <w:b w:val="false"/>
          <w:color w:val="000000"/>
          <w:sz w:val="20"/>
          <w:shd w:fill="FFFFFF" w:val="clear"/>
        </w:rPr>
        <w:t>or the year ending December 31, 2026, we anticipate project capital expenditures of</w:t>
      </w:r>
      <w:r>
        <w:rPr>
          <w:color w:val="000000"/>
        </w:rPr>
        <w:t xml:space="preserve"> </w:t>
      </w:r>
      <w:r>
        <w:rPr>
          <w:rFonts w:ascii="Times New Roman;serif" w:hAnsi="Times New Roman;serif"/>
          <w:b w:val="false"/>
          <w:color w:val="000000"/>
          <w:sz w:val="20"/>
        </w:rPr>
        <w:t xml:space="preserve">$225.0 million, the majority of which are in connection with the PENN Development Projects pursuant to our Master Development Agreement with GLPI (as described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The Master Development Agreement provides that GLPI will fund up to $225.0 million for the Aurora Project and, upon PENN’s request, up to $350.0 million in aggregate for the Other Development Projects, in accordance with certain terms and conditions set forth in the Master Development Agreement. The PENN Development Projects still under construction are all subject to necessary regulatory and other government approvals. On August 1, 2025, the Company received the full $130.0 million in committed funding from GLPI for the Joliet Project which opened on August 11, 2025, and on November 3, 2025, the Company received the full $150.0 million in committed funding from GLPI for the M Resort Project, which opened on December 1, 2025. We have neither requested nor received any funding from GLPI for the Aurora Project. We did not request or receive any funding from GLPI for the Columbus Project, and GLPI’s funding commitment expired on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Financing Cash Flow</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For the year ended December 31, 2025, net cash used in financing activities totaled $165.6 million compared to $186.5 million in net cash used in financing activities in the prior year. During the year ended December 31, 2025, net cash used in financing activities primarily related to $354.4 million</w:t>
      </w:r>
      <w:r>
        <w:rPr>
          <w:color w:val="000000"/>
        </w:rPr>
        <w:t xml:space="preserve"> </w:t>
      </w:r>
      <w:r>
        <w:rPr>
          <w:rFonts w:ascii="Times New Roman;serif" w:hAnsi="Times New Roman;serif"/>
          <w:b w:val="false"/>
          <w:color w:val="000000"/>
          <w:sz w:val="20"/>
          <w:shd w:fill="FFFFFF" w:val="clear"/>
        </w:rPr>
        <w:t>of common stock repurchases, $223.8 million</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 xml:space="preserve">repurchases of </w:t>
      </w:r>
      <w:r>
        <w:rPr>
          <w:rFonts w:ascii="Times New Roman;serif" w:hAnsi="Times New Roman;serif"/>
          <w:b w:val="false"/>
          <w:color w:val="000000"/>
          <w:sz w:val="20"/>
        </w:rPr>
        <w:t xml:space="preserve">our Convertible Notes, </w:t>
      </w:r>
      <w:r>
        <w:rPr>
          <w:rFonts w:ascii="Times New Roman;serif" w:hAnsi="Times New Roman;serif"/>
          <w:b w:val="false"/>
          <w:color w:val="000000"/>
          <w:sz w:val="20"/>
          <w:shd w:fill="FFFFFF" w:val="clear"/>
        </w:rPr>
        <w:t>$53.4 million in principal payments on our finance leases, $43.5 million in principal payments on our financing obligations, $37.5 million in principal debt repayments, $31.1 million</w:t>
      </w:r>
      <w:r>
        <w:rPr>
          <w:color w:val="000000"/>
        </w:rPr>
        <w:t xml:space="preserve"> </w:t>
      </w:r>
      <w:r>
        <w:rPr>
          <w:rFonts w:ascii="Times New Roman;serif" w:hAnsi="Times New Roman;serif"/>
          <w:b w:val="false"/>
          <w:color w:val="000000"/>
          <w:sz w:val="20"/>
        </w:rPr>
        <w:t>in payments on insurance financing, partially offset by net proceeds from our revolving credit facility of $570.0 million.</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During the year ended December 31, 2024, net cash used in financing activities of $186.5 million primarily related to $50.3 million in principal payments on our finance leases, $40.8 million</w:t>
      </w:r>
      <w:r>
        <w:rPr>
          <w:color w:val="000000"/>
        </w:rPr>
        <w:t xml:space="preserve"> </w:t>
      </w:r>
      <w:r>
        <w:rPr>
          <w:rFonts w:ascii="Times New Roman;serif" w:hAnsi="Times New Roman;serif"/>
          <w:b w:val="false"/>
          <w:color w:val="000000"/>
          <w:sz w:val="20"/>
        </w:rPr>
        <w:t xml:space="preserve">in principal payments on our financing obligations, </w:t>
      </w:r>
      <w:r>
        <w:rPr>
          <w:rFonts w:ascii="Times New Roman;serif" w:hAnsi="Times New Roman;serif"/>
          <w:b w:val="false"/>
          <w:color w:val="000000"/>
          <w:sz w:val="20"/>
          <w:shd w:fill="FFFFFF" w:val="clear"/>
        </w:rPr>
        <w:t>$37.5 million</w:t>
      </w:r>
      <w:r>
        <w:rPr>
          <w:color w:val="000000"/>
        </w:rPr>
        <w:t xml:space="preserve"> </w:t>
      </w:r>
      <w:r>
        <w:rPr>
          <w:rFonts w:ascii="Times New Roman;serif" w:hAnsi="Times New Roman;serif"/>
          <w:b w:val="false"/>
          <w:color w:val="000000"/>
          <w:sz w:val="20"/>
        </w:rPr>
        <w:t xml:space="preserve">in principal debt repayments, </w:t>
      </w:r>
      <w:r>
        <w:rPr>
          <w:rFonts w:ascii="Times New Roman;serif" w:hAnsi="Times New Roman;serif"/>
          <w:b w:val="false"/>
          <w:color w:val="000000"/>
          <w:sz w:val="20"/>
          <w:shd w:fill="FFFFFF" w:val="clear"/>
        </w:rPr>
        <w:t>$35.4 million</w:t>
      </w:r>
      <w:r>
        <w:rPr>
          <w:color w:val="000000"/>
        </w:rPr>
        <w:t xml:space="preserve"> </w:t>
      </w:r>
      <w:r>
        <w:rPr>
          <w:rFonts w:ascii="Times New Roman;serif" w:hAnsi="Times New Roman;serif"/>
          <w:b w:val="false"/>
          <w:color w:val="000000"/>
          <w:sz w:val="20"/>
        </w:rPr>
        <w:t xml:space="preserve">in payments on insurance financing, </w:t>
      </w:r>
      <w:r>
        <w:rPr>
          <w:rFonts w:ascii="Times New Roman;serif" w:hAnsi="Times New Roman;serif"/>
          <w:b w:val="false"/>
          <w:color w:val="000000"/>
          <w:sz w:val="20"/>
          <w:shd w:fill="FFFFFF" w:val="clear"/>
        </w:rPr>
        <w:t>as well as $30.5 million</w:t>
      </w:r>
      <w:r>
        <w:rPr>
          <w:color w:val="000000"/>
        </w:rPr>
        <w:t xml:space="preserve"> </w:t>
      </w:r>
      <w:r>
        <w:rPr>
          <w:rFonts w:ascii="Times New Roman;serif" w:hAnsi="Times New Roman;serif"/>
          <w:b w:val="false"/>
          <w:color w:val="000000"/>
          <w:sz w:val="20"/>
        </w:rPr>
        <w:t>in indemnification payments</w:t>
      </w:r>
      <w:r>
        <w:rPr>
          <w:rFonts w:ascii="Times New Roman;serif" w:hAnsi="Times New Roman;serif"/>
          <w:b w:val="false"/>
          <w:color w:val="000000"/>
          <w:sz w:val="20"/>
          <w:shd w:fill="FFFFFF" w:val="clear"/>
        </w:rPr>
        <w:t>.</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Debt Issuance and Other long-term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At December 31, 2025, we had $2.9 billion in aggregate principal amount of indebtedness, including $2.0 billion outstanding under our Amended Credit Facilities, $106.7 million outstanding under our Convertible Notes, $400.0 million outstanding under our 5.625% Notes, $400.0 million outstanding under our 4.125% Notes, and $8.6 million outstanding in other long-term obligations. We had $570.0 million drawn on our Amended Revolving Credit Facility. </w:t>
      </w:r>
      <w:r>
        <w:rPr>
          <w:rFonts w:ascii="Times New Roman;serif" w:hAnsi="Times New Roman;serif"/>
          <w:b w:val="false"/>
          <w:color w:val="000000"/>
          <w:sz w:val="20"/>
          <w:shd w:fill="FFFFFF" w:val="clear"/>
        </w:rPr>
        <w:t xml:space="preserve">See definitions for (i) Amended Credit Facilities; (ii) 5.625% Notes; (iii) 4.125% Notes; and (iv) Amended Revolving Credit Facility in </w:t>
      </w:r>
      <w:hyperlink w:anchor="ic1a494480e6146a1a6acab9187fe13be_175">
        <w:r>
          <w:rPr>
            <w:rStyle w:val="InternetLink"/>
            <w:rFonts w:ascii="Times New Roman;serif" w:hAnsi="Times New Roman;serif"/>
            <w:b w:val="false"/>
            <w:color w:val="0000FF"/>
            <w:sz w:val="20"/>
            <w:u w:val="single"/>
            <w:shd w:fill="FFFFFF" w:val="clear"/>
          </w:rPr>
          <w:t>Note 10, “Long-Term Debt”</w:t>
        </w:r>
      </w:hyperlink>
      <w:r>
        <w:rPr>
          <w:color w:val="000000"/>
          <w:shd w:fill="FFFFFF" w:val="clear"/>
        </w:rPr>
        <w:t xml:space="preserve"> </w:t>
      </w:r>
      <w:r>
        <w:rPr>
          <w:rFonts w:ascii="Times New Roman;serif" w:hAnsi="Times New Roman;serif"/>
          <w:b w:val="false"/>
          <w:color w:val="000000"/>
          <w:sz w:val="20"/>
          <w:shd w:fill="FFFFFF" w:val="clear"/>
        </w:rPr>
        <w:t>in the notes to the Consolidated Financial Statements. T</w:t>
      </w:r>
      <w:r>
        <w:rPr>
          <w:rFonts w:ascii="Times New Roman;serif" w:hAnsi="Times New Roman;serif"/>
          <w:b w:val="false"/>
          <w:color w:val="000000"/>
          <w:sz w:val="20"/>
        </w:rPr>
        <w:t>he Convertible Notes are scheduled to mature in 2026, however, the Company intends to refinance on a long-term basis. As of December 31, 2025 we had conditional obligations under letters of credit issued pursuant to the Amended Credit Facilities with face amounts aggregating to $23.9 million resulting in $406.1 million available borrowing capacity under our Amended Revolving Credit Facility. As of February 25, 2026, the Company had $565.0 million in outstanding borrowings under its Amended Revolving Credit Facility, resulting in $411.1 million of available borrowing capacity.</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Covenants</w:t>
      </w:r>
      <w:r>
        <w:rPr>
          <w:color w:val="000000"/>
        </w:rPr>
        <w:t> </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Our Amended Credit Facilities, </w:t>
      </w:r>
      <w:r>
        <w:rPr>
          <w:rFonts w:ascii="Times New Roman;serif" w:hAnsi="Times New Roman;serif"/>
          <w:b w:val="false"/>
          <w:color w:val="000000"/>
          <w:sz w:val="20"/>
        </w:rPr>
        <w:t>5.625%</w:t>
      </w:r>
      <w:r>
        <w:rPr>
          <w:color w:val="000000"/>
          <w:shd w:fill="FFFFFF" w:val="clear"/>
        </w:rPr>
        <w:t xml:space="preserve"> </w:t>
      </w:r>
      <w:r>
        <w:rPr>
          <w:rFonts w:ascii="Times New Roman;serif" w:hAnsi="Times New Roman;serif"/>
          <w:b w:val="false"/>
          <w:color w:val="000000"/>
          <w:sz w:val="20"/>
          <w:shd w:fill="FFFFFF" w:val="clear"/>
        </w:rPr>
        <w:t xml:space="preserve">Notes, and </w:t>
      </w:r>
      <w:r>
        <w:rPr>
          <w:rFonts w:ascii="Times New Roman;serif" w:hAnsi="Times New Roman;serif"/>
          <w:b w:val="false"/>
          <w:color w:val="000000"/>
          <w:sz w:val="20"/>
        </w:rPr>
        <w:t>4.125%</w:t>
      </w:r>
      <w:r>
        <w:rPr>
          <w:color w:val="000000"/>
          <w:shd w:fill="FFFFFF" w:val="clear"/>
        </w:rPr>
        <w:t xml:space="preserve"> </w:t>
      </w:r>
      <w:r>
        <w:rPr>
          <w:rFonts w:ascii="Times New Roman;serif" w:hAnsi="Times New Roman;serif"/>
          <w:b w:val="false"/>
          <w:color w:val="000000"/>
          <w:sz w:val="20"/>
          <w:shd w:fill="FFFFFF" w:val="clear"/>
        </w:rPr>
        <w:t xml:space="preserve">Notes, require us, among other obligations, to maintain specified financial ratios and to satisfy certain financial tests. In addition, our Amended Credit Facilities, </w:t>
      </w:r>
      <w:r>
        <w:rPr>
          <w:rFonts w:ascii="Times New Roman;serif" w:hAnsi="Times New Roman;serif"/>
          <w:b w:val="false"/>
          <w:color w:val="000000"/>
          <w:sz w:val="20"/>
        </w:rPr>
        <w:t>5.625%</w:t>
      </w:r>
      <w:r>
        <w:rPr>
          <w:color w:val="000000"/>
          <w:shd w:fill="FFFFFF" w:val="clear"/>
        </w:rPr>
        <w:t xml:space="preserve"> </w:t>
      </w:r>
      <w:r>
        <w:rPr>
          <w:rFonts w:ascii="Times New Roman;serif" w:hAnsi="Times New Roman;serif"/>
          <w:b w:val="false"/>
          <w:color w:val="000000"/>
          <w:sz w:val="20"/>
          <w:shd w:fill="FFFFFF" w:val="clear"/>
        </w:rPr>
        <w:t xml:space="preserve">Notes, and </w:t>
      </w:r>
      <w:r>
        <w:rPr>
          <w:rFonts w:ascii="Times New Roman;serif" w:hAnsi="Times New Roman;serif"/>
          <w:b w:val="false"/>
          <w:color w:val="000000"/>
          <w:sz w:val="20"/>
        </w:rPr>
        <w:t>4.125%</w:t>
      </w:r>
      <w:r>
        <w:rPr>
          <w:color w:val="000000"/>
          <w:shd w:fill="FFFFFF" w:val="clear"/>
        </w:rPr>
        <w:t xml:space="preserve"> </w:t>
      </w:r>
      <w:r>
        <w:rPr>
          <w:rFonts w:ascii="Times New Roman;serif" w:hAnsi="Times New Roman;serif"/>
          <w:b w:val="false"/>
          <w:color w:val="000000"/>
          <w:sz w:val="20"/>
          <w:shd w:fill="FFFFFF" w:val="clear"/>
        </w:rPr>
        <w:t>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 Company was in compliance with all required financial covenants. The Company believes that it will remain in compliance with all of its required financial covenants for at least the next 12 months following the date of filing this Annual Report on Form 10-K with the SEC.</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c1a494480e6146a1a6acab9187fe13be_175">
        <w:r>
          <w:rPr>
            <w:rStyle w:val="InternetLink"/>
            <w:rFonts w:ascii="Times New Roman;serif" w:hAnsi="Times New Roman;serif"/>
            <w:b w:val="false"/>
            <w:color w:val="0000FF"/>
            <w:sz w:val="20"/>
            <w:u w:val="single"/>
          </w:rPr>
          <w:t>Note 10, “Long-term Debt”</w:t>
        </w:r>
      </w:hyperlink>
      <w:r>
        <w:rPr>
          <w:color w:val="000000"/>
        </w:rPr>
        <w:t xml:space="preserve"> </w:t>
      </w:r>
      <w:r>
        <w:rPr>
          <w:rFonts w:ascii="Times New Roman;serif" w:hAnsi="Times New Roman;serif"/>
          <w:b w:val="false"/>
          <w:color w:val="000000"/>
          <w:sz w:val="20"/>
        </w:rPr>
        <w:t>in the notes to our Consolidated Financial Statements for additional information of the Company</w:t>
      </w:r>
      <w:r>
        <w:rPr>
          <w:color w:val="000000"/>
          <w:shd w:fill="FFFFFF" w:val="clear"/>
        </w:rPr>
        <w:t>’</w:t>
      </w:r>
      <w:r>
        <w:rPr>
          <w:rFonts w:ascii="Times New Roman;serif" w:hAnsi="Times New Roman;serif"/>
          <w:b w:val="false"/>
          <w:color w:val="000000"/>
          <w:sz w:val="20"/>
        </w:rPr>
        <w:t>s debt and other long-term obligations.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Share Repurchase Authorizations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6, 2022, the Board authorized an additional $750.0 million share repurchase program (the “December 2022 Authorization”), which expired on December 31, 2025. On October 30, 2025, the Board approved a new $750.0 million share repurchase program (the “October 2025 Authorization”), which commenced on January 1, 2026 and expires on December 31, 2028. 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20,090,831 shares of its common stock in open market transactions for $354.4 million at an average price of $17.64 per share under the December 2022 Authorization. The cost of all repurchased shares is recorded to “Treasury stock” within the Consolidated Balance Sheets.As of February 25, 2026, the remaining availability under our October 2025 Authorization was $750.0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Factors Affecting Liquidity</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ESPN BET Sportsbook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November 5, 2025, PENN and ESPN entered into the Termination Agreement, pursuant to which PENN’s exclusive right to use the ESPN BET trademark for OSB in the U.S. terminated on December 1, 2025. The company paid $155.6 million during the year ended December 31, 2025 related to the Sportsbook Agreement. As of December 31, 2025, all outstanding payment obligations from PENN to ESPN under the Sportsbook Agreement have been settled. See </w:t>
      </w:r>
      <w:hyperlink w:anchor="ic1a494480e6146a1a6acab9187fe13be_187">
        <w:r>
          <w:rPr>
            <w:rStyle w:val="InternetLink"/>
            <w:rFonts w:ascii="Times New Roman;serif" w:hAnsi="Times New Roman;serif"/>
            <w:b w:val="false"/>
            <w:color w:val="0000FF"/>
            <w:sz w:val="20"/>
            <w:u w:val="single"/>
          </w:rPr>
          <w:t>Note 12, “Commitments and Contingencies”</w:t>
        </w:r>
      </w:hyperlink>
      <w:r>
        <w:rPr>
          <w:color w:val="000000"/>
        </w:rPr>
        <w:t xml:space="preserve"> </w:t>
      </w:r>
      <w:r>
        <w:rPr>
          <w:rFonts w:ascii="Times New Roman;serif" w:hAnsi="Times New Roman;serif"/>
          <w:b w:val="false"/>
          <w:color w:val="000000"/>
          <w:sz w:val="20"/>
        </w:rPr>
        <w:t>in the notes to our Consolidated Financial Statements for additional information.</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Triple Net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the AR PENN Master Lease, 2023 Master Lease, and Pinnacle Master Lease (as such terms are defined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and collectively referred to as the “Master Leases”) with GLPI. We refer to the Master Leases, VICI Master Lease, Margaritaville Lease (prior to December 4, 2025), Greektown Lease (prior to December 4, 2025), and Morgantown Lease, collectively, as our “Triple Net Leases.” The Company’s Triple Net Leases are accounted for as either operating leases, finance leases, or financing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December 4, 2025, the Company entered into a triple net master lease with VICI Properties Inc. (NYSE: VICI) (“VICI”) (“VICI Master Lease”) which amended and restated the Margaritaville Lease and the Greektown Lease (both as defined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into a single combined lease. The VICI Master Lease has an initial term through May 23, 2034, with four subsequent five-year renewal periods on the same terms and conditions, exercisable at the Company’s option. Upon execution of the VICI Master Lease, initial annual rent was set at $80.7 million, representing the aggregate annual rent under the Margaritaville Lease and the Greektown Lease in effect immediately prior to December 4, 2025. Annual rent will increase by 1.0% to $81.5 million effective June 1, 2026 and, thereafter, will be subject to an annual escalator of up to 1.0% each June 1, depending on a minimum coverage floor ratio of Net Revenue to Rent to be determined over the performance period from June 1, 2025 to May 31, 2026 (as defined within the VICI Master Lease).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are required to make total annual minimum rent payments of</w:t>
      </w:r>
      <w:r>
        <w:rPr>
          <w:color w:val="000000"/>
        </w:rPr>
        <w:t xml:space="preserve"> </w:t>
      </w:r>
      <w:r>
        <w:rPr>
          <w:rFonts w:ascii="Times New Roman;serif" w:hAnsi="Times New Roman;serif"/>
          <w:b w:val="false"/>
          <w:color w:val="000000"/>
          <w:sz w:val="20"/>
        </w:rPr>
        <w:t>$986.3 million</w:t>
      </w:r>
      <w:r>
        <w:rPr>
          <w:rFonts w:ascii="Times New Roman;serif" w:hAnsi="Times New Roman;serif"/>
          <w:b w:val="false"/>
          <w:color w:val="000000"/>
          <w:sz w:val="20"/>
          <w:shd w:fill="FFFFFF" w:val="clear"/>
        </w:rPr>
        <w:t xml:space="preserve">, of which </w:t>
      </w:r>
      <w:r>
        <w:rPr>
          <w:rFonts w:ascii="Times New Roman;serif" w:hAnsi="Times New Roman;serif"/>
          <w:b w:val="false"/>
          <w:color w:val="000000"/>
          <w:sz w:val="20"/>
        </w:rPr>
        <w:t xml:space="preserve">$970.0 million </w:t>
      </w:r>
      <w:r>
        <w:rPr>
          <w:rFonts w:ascii="Times New Roman;serif" w:hAnsi="Times New Roman;serif"/>
          <w:b w:val="false"/>
          <w:color w:val="000000"/>
          <w:sz w:val="20"/>
          <w:shd w:fill="FFFFFF" w:val="clear"/>
        </w:rPr>
        <w:t xml:space="preserve">relates to our Triple Net Leases. </w:t>
      </w:r>
      <w:r>
        <w:rPr>
          <w:rFonts w:ascii="Times New Roman;serif" w:hAnsi="Times New Roman;serif"/>
          <w:b w:val="false"/>
          <w:color w:val="000000"/>
          <w:sz w:val="20"/>
        </w:rPr>
        <w:t xml:space="preserve">Additionally, our Triple Net Leases are subject to annual escalators and periodic percentage rent resets, as applicable. See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for further discussion and disclosure related to the Company’s leases.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to our REIT Landlords under Triple Net Leases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payments made to our REIT Landlords, GLPI and VICI, were as follows:</w:t>
      </w:r>
    </w:p>
    <w:tbl>
      <w:tblPr>
        <w:tblW w:w="5546" w:type="dxa"/>
        <w:jc w:val="left"/>
        <w:tblInd w:w="0" w:type="dxa"/>
        <w:tblLayout w:type="fixed"/>
        <w:tblCellMar>
          <w:top w:w="28" w:type="dxa"/>
          <w:left w:w="28" w:type="dxa"/>
          <w:bottom w:w="28" w:type="dxa"/>
          <w:right w:w="28" w:type="dxa"/>
        </w:tblCellMar>
      </w:tblPr>
      <w:tblGrid>
        <w:gridCol w:w="739"/>
        <w:gridCol w:w="649"/>
        <w:gridCol w:w="651"/>
        <w:gridCol w:w="211"/>
        <w:gridCol w:w="616"/>
        <w:gridCol w:w="109"/>
        <w:gridCol w:w="109"/>
        <w:gridCol w:w="109"/>
        <w:gridCol w:w="109"/>
        <w:gridCol w:w="211"/>
        <w:gridCol w:w="616"/>
        <w:gridCol w:w="109"/>
        <w:gridCol w:w="109"/>
        <w:gridCol w:w="109"/>
        <w:gridCol w:w="109"/>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VICI Master Lease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Lease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Greektown Lease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Morgantown Lease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(1)As discussed in </w:t>
      </w:r>
      <w:hyperlink w:anchor="ic1a494480e6146a1a6acab9187fe13be_181">
        <w:r>
          <w:rPr>
            <w:rStyle w:val="InternetLink"/>
            <w:rFonts w:ascii="Times New Roman;serif" w:hAnsi="Times New Roman;serif"/>
            <w:b w:val="false"/>
            <w:color w:val="0000FF"/>
            <w:sz w:val="16"/>
            <w:u w:val="single"/>
          </w:rPr>
          <w:t>Note 11, “Leases,”</w:t>
        </w:r>
      </w:hyperlink>
      <w:r>
        <w:rPr>
          <w:color w:val="000000"/>
        </w:rPr>
        <w:t xml:space="preserve"> </w:t>
      </w:r>
      <w:r>
        <w:rPr>
          <w:rFonts w:ascii="Times New Roman;serif" w:hAnsi="Times New Roman;serif"/>
          <w:b w:val="false"/>
          <w:color w:val="000000"/>
          <w:sz w:val="16"/>
        </w:rPr>
        <w:t>prior to December 4, 2025, lease payments made to VICI related to the Margaritaville and Greektown individual triple net leases; effective December 4, 2025, lease payments made to VICI relate to the VICI Master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Contractual Cash Obligations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other contractual cash obligations as of December 31, 2025:</w:t>
      </w:r>
    </w:p>
    <w:tbl>
      <w:tblPr>
        <w:tblW w:w="10205" w:type="dxa"/>
        <w:jc w:val="left"/>
        <w:tblInd w:w="0" w:type="dxa"/>
        <w:tblLayout w:type="fixed"/>
        <w:tblCellMar>
          <w:top w:w="28" w:type="dxa"/>
          <w:left w:w="28" w:type="dxa"/>
          <w:bottom w:w="28" w:type="dxa"/>
          <w:right w:w="28" w:type="dxa"/>
        </w:tblCellMar>
      </w:tblPr>
      <w:tblGrid>
        <w:gridCol w:w="968"/>
        <w:gridCol w:w="767"/>
        <w:gridCol w:w="723"/>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4"/>
        <w:gridCol w:w="558"/>
        <w:gridCol w:w="187"/>
      </w:tblGrid>
      <w:tr>
        <w:trPr/>
        <w:tc>
          <w:tcPr>
            <w:tcW w:w="96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2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 and after</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obligations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liabilities reflected within our Consolidated Balance Sheets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(1)Excludes the liability for unrecognized tax related benefits and indemnification obligation of $80.0 million, as we cannot reasonably estimate the period of cash settlement with the respective taxing authorities. </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Outlook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price inflation, changes in interest rates on the U.S. economy, economic uncertainty, and geopolitical uncertainty; (ii) that our anticipated earnings projections will be realized; (iii) that we will realize the anticipated benefits of our iCasino forward strategy and the rebranding of our U.S. OSB product to theScore Bet; and (iv)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 that a significant amount of our future growth would come through the pursuit of opportunities within other distribution channels, such as media, retail, and online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“Risk Factors—Risks Related to Our Capital Structure” within </w:t>
      </w:r>
      <w:hyperlink w:anchor="ic1a494480e6146a1a6acab9187fe13be_61">
        <w:r>
          <w:rPr>
            <w:rStyle w:val="InternetLink"/>
            <w:color w:val="0000FF"/>
            <w:u w:val="single"/>
          </w:rPr>
          <w:t>“</w:t>
        </w:r>
      </w:hyperlink>
      <w:hyperlink w:anchor="ic1a494480e6146a1a6acab9187fe13be_61">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 xml:space="preserve">of this Annual Report on Form 10-K for more information on additional financing risks.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information on new accounting pronouncements and the impact of these pronouncements on our Consolidated Financial Statements, see </w:t>
      </w:r>
      <w:hyperlink w:anchor="ic1a494480e6146a1a6acab9187fe13be_154">
        <w:r>
          <w:rPr>
            <w:rStyle w:val="InternetLink"/>
            <w:rFonts w:ascii="Times New Roman;serif" w:hAnsi="Times New Roman;serif"/>
            <w:b w:val="false"/>
            <w:color w:val="0000FF"/>
            <w:sz w:val="20"/>
            <w:u w:val="single"/>
          </w:rPr>
          <w:t>Note 3, “New Accounting Pronouncements”</w:t>
        </w:r>
      </w:hyperlink>
      <w:r>
        <w:rPr>
          <w:color w:val="000000"/>
        </w:rPr>
        <w:t xml:space="preserve"> </w:t>
      </w:r>
      <w:r>
        <w:rPr>
          <w:rFonts w:ascii="Times New Roman;serif" w:hAnsi="Times New Roman;serif"/>
          <w:b w:val="false"/>
          <w:color w:val="000000"/>
          <w:sz w:val="20"/>
        </w:rPr>
        <w:t>in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accordance with GAAP requires us to make estimates and judgments that are subject to an inherent degree of uncertainty. The nature of the estimates and assumptions are material due to the levels of subjectivity and judgment necessary to account for highly uncertain factors or the susceptibility of such factors to change. The development and selection of critical accounting estimates, and the related disclosures, have been reviewed with the Audit Committee of our Board. 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reassessment of the lease classification of the land and building components within the 2023 Master Lease, in connection with the August 1, 2025 and November 3, 2025 lease modifications, and the VICI Master Lease modification (as described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in the notes to our Consolidated Financial Statements) required management to apply significant judgment and make critical estimates and assumptions. These estimates and assumptions included (i) the fair value of the land and building assets; (ii) the lease term, including the determination of whether renewal options are reasonably certain of being exercised; and (iii) the discount rate applied over the lease term, which is based on our collateralized incremental borrowing rate.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 and other intangible assets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December 31, 2025, the Company had $1.8 billion in goodwill and $1.4 billion in other intangible assets, net </w:t>
      </w:r>
      <w:r>
        <w:rPr>
          <w:rFonts w:ascii="Times New Roman;serif" w:hAnsi="Times New Roman;serif"/>
          <w:b w:val="false"/>
          <w:color w:val="000000"/>
          <w:sz w:val="20"/>
          <w:shd w:fill="FFFFFF" w:val="clear"/>
        </w:rPr>
        <w:t>within its Consolidated Balance Sheets, represen</w:t>
      </w:r>
      <w:r>
        <w:rPr>
          <w:rFonts w:ascii="Times New Roman;serif" w:hAnsi="Times New Roman;serif"/>
          <w:b w:val="false"/>
          <w:color w:val="000000"/>
          <w:sz w:val="20"/>
        </w:rPr>
        <w:t xml:space="preserve">ting 12.5% and 9.8% of total assets, respectively. These intangible assets require significant management estimates and judgment pertaining to: (i) the valuation in connection with initial purchase price allocations and (ii) the ongoing evaluation for impairment. Our annual goodwill and other indefinite-lived intangible assets impairment test is performed on October 1st of each year, or more frequently if indicators of impairment exist.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second quarter of 2025, we identified an indicator of impairment on our trademark at Ameristar Council Bluffs and performed tests to assess for impairment, which resulted in an impairment charge of $15.0 million. During the third quarter of 2025, we identified an indicator of impairment related to goodwill within our Interactive segment. Accordingly, we performed an interim goodwill impairment test, which resulted in the recognition of an $825.0 million goodwill impairment charge. As a result of our annual test completed during the fourth quarter of 2025, we recognized $7.0 million in impairment charges on our goodwill in our South segment, $88.3 million in impairment charges on our gaming licenses in our Northeast and South segments, and $10.0 million in impairment charges on our trademarks in our South and West segments. For further discussion, see </w:t>
      </w:r>
      <w:hyperlink w:anchor="ic1a494480e6146a1a6acab9187fe13be_169">
        <w:r>
          <w:rPr>
            <w:rStyle w:val="InternetLink"/>
            <w:rFonts w:ascii="Times New Roman;serif" w:hAnsi="Times New Roman;serif"/>
            <w:b w:val="false"/>
            <w:color w:val="0000FF"/>
            <w:sz w:val="20"/>
            <w:u w:val="single"/>
          </w:rPr>
          <w:t>Note 8, “Goodwill and Other Intangible Assets”</w:t>
        </w:r>
      </w:hyperlink>
      <w:r>
        <w:rPr>
          <w:color w:val="000000"/>
        </w:rPr>
        <w:t xml:space="preserve"> </w:t>
      </w:r>
      <w:r>
        <w:rPr>
          <w:rFonts w:ascii="Times New Roman;serif" w:hAnsi="Times New Roman;serif"/>
          <w:b w:val="false"/>
          <w:color w:val="000000"/>
          <w:sz w:val="20"/>
        </w:rPr>
        <w:t>to our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Once an impairment of goodwill or other intangible asset has been recorded, it cannot be reversed. Since the Company’s goodwill and other indefinite-lived intangible assets are not amortized, there may be volatility in reported net income or loss because impairment losses, if any, are likely to occur irregularly and in varying amounts. Intangible assets that have a definite life are amortized on a straight-line basis over their estimated useful lives or related service contract. The Company reviews the carrying amount of its amortizing intangible assets for possible impairment whenever events or changes in circumstances indicate that their carrying amount may not be recoverable. If the carrying amount of the amortizing intangible assets exceed their fair value, an impairment loss is recognized.</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Revenue and earnings streams within our industry can vary significantly based on various circumstances, which in many cases, are outside of the Company’s control, and as such are difficult to predict and quantify. We have disclosed several of these circumstances in </w:t>
      </w:r>
      <w:hyperlink w:anchor="ic1a494480e6146a1a6acab9187fe13be_61">
        <w:r>
          <w:rPr>
            <w:rStyle w:val="InternetLink"/>
            <w:color w:val="0000FF"/>
            <w:u w:val="single"/>
          </w:rPr>
          <w:t>“</w:t>
        </w:r>
      </w:hyperlink>
      <w:hyperlink w:anchor="ic1a494480e6146a1a6acab9187fe13be_61">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Interactive reporting unit goodwill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Interactive reporting segment constitutes a single reporting unit for purposes of goodwill impairment testing and had a goodwill balance of $774.8 million as of December 31, 2025. For our interim quantitative goodwill impairment test for the segment’s goodwill, an income approach, in which a discounted cash flow (“DCF”) model and a market-based approach used guideline public company multiples of earnings before interest, taxes, depreciation, and amortization (“EBITDA”) from the segment’s peer group was utilized in order to estimate the fair market value of the reporting unit. The Company compared the fair value of the segment’s reporting unit to its carrying amount. As the carrying amount of the reporting unit exceeded the fair value, an impairment was recorded equal to the amount of the excess, which was $825.0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evaluation of goodwill requires the use of estimates about future operating results of the reporting unit to determine the estimated fair value of the reporting unit. The Company must make various assumptions and estimates in performing its impairment testing. The implied fair value includes estimates of future cash flows that are based on reasonable and supportable assumptions which represent the Company’s best estimates of the cash flows expected to result from the use of the assets including their eventual disposition. Significant assumptions utilized in the estimation of future cash flows for the reporting unit include forecasted revenues, the discount rate used in the valuation, and the terminal year EBITDA exit multiple. These significant assumptions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PENN’s overall value but may be to the detriment of the Interactive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our ongoing estimates of future cash flows are not met, we may have to record additional impairment charges in future periods. Our estimates of cash flows are based on the current regulatory and economic climates, recent operating information, and budgets of the reporting unit. These estimates could be negatively impacted by changes in federal, state, provincial, or local regulations, economic downturns, or other events affecting our Interactive segment.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Forecasted cash flows can be significantly impacted by the local economies in which our Interactive reporting unit operates. Increases in unemployment rates, inflation and/or interest rates can also result in decreased customer activity and/or lower customer spend. Additionally, increases in gaming taxes approved by state and provincial regulatory bodies can negatively impact forecasted cash flows.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goodwill at our Interactive reporting unit was subject to a sensitivity analysis to determine the potential additional impairment loss as of the September 30, 2025 testing date:</w:t>
      </w:r>
    </w:p>
    <w:tbl>
      <w:tblPr>
        <w:tblW w:w="10205" w:type="dxa"/>
        <w:jc w:val="left"/>
        <w:tblInd w:w="0" w:type="dxa"/>
        <w:tblLayout w:type="fixed"/>
        <w:tblCellMar>
          <w:top w:w="28" w:type="dxa"/>
          <w:left w:w="28" w:type="dxa"/>
          <w:bottom w:w="28" w:type="dxa"/>
          <w:right w:w="28" w:type="dxa"/>
        </w:tblCellMar>
      </w:tblPr>
      <w:tblGrid>
        <w:gridCol w:w="554"/>
        <w:gridCol w:w="469"/>
        <w:gridCol w:w="470"/>
        <w:gridCol w:w="531"/>
        <w:gridCol w:w="523"/>
        <w:gridCol w:w="525"/>
        <w:gridCol w:w="109"/>
        <w:gridCol w:w="109"/>
        <w:gridCol w:w="109"/>
        <w:gridCol w:w="314"/>
        <w:gridCol w:w="310"/>
        <w:gridCol w:w="775"/>
        <w:gridCol w:w="109"/>
        <w:gridCol w:w="109"/>
        <w:gridCol w:w="109"/>
        <w:gridCol w:w="1485"/>
        <w:gridCol w:w="1482"/>
        <w:gridCol w:w="2113"/>
      </w:tblGrid>
      <w:tr>
        <w:trPr/>
        <w:tc>
          <w:tcPr>
            <w:tcW w:w="5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impairment loss as a result of:</w:t>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Passing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 10% decrease in forecasted revenues and Adjusted EBITDA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Interactive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Gaming licenses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our gaming licenses as indefinite-lived intangible assets that do not require amortization based on our future expectations to operate our gaming properties indefinitely as well as our historical experience in renewing these intangible assets at minimal cost with various jurisdictional commissions. Rather, these gaming licenses are tested annually for impairment, or more frequently if indicators of impairment exist, by comparing the fair value of the recorded assets to their carrying amount. If the carrying amounts of the gaming licenses exceed their fair value, an impairment loss is recognized.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assess the fair value of our gaming licenses using the Greenfield Method under the income approach, which estimates the fair value of the gaming license using a DCF model assuming we built a new casino with similar utility to that of the existing casino. The method assumes a theoretical start-up company going into business without any assets other than the intangible asset being valued. As such, the value of the gaming license is a function of the following assumptions: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Projected revenues and operating cash flows (including an allocation of the projected payments under any applicable Triple Net Lease);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Estimated construction costs and duration;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Estimated pre-opening expenses;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Discounting that reflects the level of risk associated with receiving future cash flows attributable to the license.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general, as it pertains to the Triple Net Leases, such amounts are allocated based on the reporting unit’s projected Adjusted EBITDAR as a percentage of the aggregate estimated Adjusted EBITDAR of all reporting units subject to each of the Triple Net Leases, as applicable.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evaluation of gaming license intangible assets requires the use of estimates about future operating results of each reporting unit to determine the estimated fair value of the gaming license indefinite-lived intangible assets. The Company must make various assumptions and estimates in performing the impairment testing. The implied fair value includes estimates of future cash flows (including an allocation of the projected payments under any applicable Triple Net Lease) that are based on reasonable and supportable assumptions which represent the Company’s best estimates of the cash flows expected to result from the use of the assets including their eventual disposition.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our ongoing estimates of future cash flows are not met, we may have to record additional impairment charges in future periods. Our estimates of cash flows are based on the current regulatory and economic climates, recent operating information and budgets of the various properties where it conducts operations. These estimates could be negatively impacted by changes in federal, state, or local regulations, economic downturns, or other events affecting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Forecasted cash flows (based on our annual operating plan as determined in the fourth quarter) can be significantly impacted by the local economy in which our reporting units operate. Increases in unemployment rates, inflation and/or interest rates can also result in decreased customer visitation and/or lower customer spend per visit. Additionally, increases in gaming taxes approved by state regulatory bodies can negatively impact forecasted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Assumptions and estimates about future cash flow levels, discount rates and multiples by individual reporting units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PENN’s overall value but may be to the detriment of an individual reporting unit.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Reporting units with gaming licenses which were identified during our 2025 annual impairment assessment, performed as of October 1, 2025, as having less than a substantial passing margin, were subject to a sensitivity analysis to determine the potential impairment losses:</w:t>
      </w:r>
    </w:p>
    <w:tbl>
      <w:tblPr>
        <w:tblW w:w="10205" w:type="dxa"/>
        <w:jc w:val="left"/>
        <w:tblInd w:w="0" w:type="dxa"/>
        <w:tblLayout w:type="fixed"/>
        <w:tblCellMar>
          <w:top w:w="28" w:type="dxa"/>
          <w:left w:w="28" w:type="dxa"/>
          <w:bottom w:w="28" w:type="dxa"/>
          <w:right w:w="28" w:type="dxa"/>
        </w:tblCellMar>
      </w:tblPr>
      <w:tblGrid>
        <w:gridCol w:w="895"/>
        <w:gridCol w:w="728"/>
        <w:gridCol w:w="720"/>
        <w:gridCol w:w="509"/>
        <w:gridCol w:w="480"/>
        <w:gridCol w:w="481"/>
        <w:gridCol w:w="109"/>
        <w:gridCol w:w="109"/>
        <w:gridCol w:w="109"/>
        <w:gridCol w:w="300"/>
        <w:gridCol w:w="282"/>
        <w:gridCol w:w="705"/>
        <w:gridCol w:w="109"/>
        <w:gridCol w:w="109"/>
        <w:gridCol w:w="109"/>
        <w:gridCol w:w="425"/>
        <w:gridCol w:w="414"/>
        <w:gridCol w:w="361"/>
        <w:gridCol w:w="317"/>
        <w:gridCol w:w="317"/>
        <w:gridCol w:w="317"/>
        <w:gridCol w:w="685"/>
        <w:gridCol w:w="685"/>
        <w:gridCol w:w="930"/>
      </w:tblGrid>
      <w:tr>
        <w:trPr/>
        <w:tc>
          <w:tcPr>
            <w:tcW w:w="89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impairment loss as a result of:</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Passing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Discount Rate </w:t>
              <w:br/>
              <w:t>+100 bps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 Growth Rate -50 bps</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Gaming License</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Boomtown New Orleans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Hollywood Casino at Greektown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L’Auberge Lake Charles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Meadows Racetrack and Casino</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080"/>
        <w:jc w:val="left"/>
        <w:rPr>
          <w:rFonts w:ascii="Times New Roman;serif" w:hAnsi="Times New Roman;serif"/>
          <w:b/>
          <w:color w:val="000000"/>
          <w:sz w:val="20"/>
        </w:rPr>
      </w:pPr>
      <w:r>
        <w:rPr>
          <w:rFonts w:ascii="Times New Roman;serif" w:hAnsi="Times New Roman;serif"/>
          <w:b/>
          <w:color w:val="000000"/>
          <w:sz w:val="20"/>
        </w:rPr>
        <w:t>ITEM 7A.QUANTITATIVE AND QUALITATIVE DISCLOSURE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adverse changes in interest rates with respect to the short-term floating interest rates on borrowings under our Amended Credit Facilities. As of December 31, 2025, the Company’s Amended Credit Facilities had a gross outstanding balance of $2.0 billion, consisting of a $453.8 million Amended Term Loan A Facility, a $965.0 million Amended Term Loan B Facility, and $570.0 million of borrowings against our Amended Revolving Credit Facility. As of December 31, 2025, we had $406.1 million of available borrowing capacity under our Amended Revolving Credit Facility. As of February 25, 2026, the Company had $565.0 million in outstanding borrowings under its Amended Revolving Credit Facility, resulting in $411.1 million of available borrowing capacity.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our long-term debt obligations that are sensitive to changes in interest rates, including the notional amounts maturing during the twelve-month period presented and the related weighted-average interest rates by maturity dates as of December 31, 2025.</w:t>
      </w:r>
    </w:p>
    <w:tbl>
      <w:tblPr>
        <w:tblW w:w="10751" w:type="dxa"/>
        <w:jc w:val="left"/>
        <w:tblInd w:w="0" w:type="dxa"/>
        <w:tblLayout w:type="fixed"/>
        <w:tblCellMar>
          <w:top w:w="28" w:type="dxa"/>
          <w:left w:w="28" w:type="dxa"/>
          <w:bottom w:w="28" w:type="dxa"/>
          <w:right w:w="28" w:type="dxa"/>
        </w:tblCellMar>
      </w:tblPr>
      <w:tblGrid>
        <w:gridCol w:w="290"/>
        <w:gridCol w:w="215"/>
        <w:gridCol w:w="216"/>
        <w:gridCol w:w="196"/>
        <w:gridCol w:w="556"/>
        <w:gridCol w:w="256"/>
        <w:gridCol w:w="109"/>
        <w:gridCol w:w="109"/>
        <w:gridCol w:w="109"/>
        <w:gridCol w:w="196"/>
        <w:gridCol w:w="691"/>
        <w:gridCol w:w="256"/>
        <w:gridCol w:w="109"/>
        <w:gridCol w:w="109"/>
        <w:gridCol w:w="109"/>
        <w:gridCol w:w="196"/>
        <w:gridCol w:w="466"/>
        <w:gridCol w:w="256"/>
        <w:gridCol w:w="109"/>
        <w:gridCol w:w="109"/>
        <w:gridCol w:w="109"/>
        <w:gridCol w:w="196"/>
        <w:gridCol w:w="556"/>
        <w:gridCol w:w="256"/>
        <w:gridCol w:w="109"/>
        <w:gridCol w:w="109"/>
        <w:gridCol w:w="109"/>
        <w:gridCol w:w="196"/>
        <w:gridCol w:w="406"/>
        <w:gridCol w:w="109"/>
        <w:gridCol w:w="109"/>
        <w:gridCol w:w="109"/>
        <w:gridCol w:w="109"/>
        <w:gridCol w:w="252"/>
        <w:gridCol w:w="523"/>
        <w:gridCol w:w="141"/>
        <w:gridCol w:w="109"/>
        <w:gridCol w:w="109"/>
        <w:gridCol w:w="109"/>
        <w:gridCol w:w="196"/>
        <w:gridCol w:w="691"/>
        <w:gridCol w:w="109"/>
        <w:gridCol w:w="109"/>
        <w:gridCol w:w="109"/>
        <w:gridCol w:w="109"/>
        <w:gridCol w:w="196"/>
        <w:gridCol w:w="691"/>
        <w:gridCol w:w="154"/>
      </w:tblGrid>
      <w:tr>
        <w:trPr/>
        <w:tc>
          <w:tcPr>
            <w:tcW w:w="2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interest rate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(1)Estimated rate, reflective of forward SOFR as of December 31, 2025 plus the spread over SOFR applicable to variable-rate borrowing.</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currency translation risk because the results of our international entities are reported in local currency, which we then translate to U.S. dollars for inclusion in our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currently enter into hedging arrangements to minimize the impact of foreign currency fluctuations on our operations. We incurred an unrealized foreign currency translation adjustment gain of $65.5 million, an unrealized foreign currency translation loss of $139.1 million, and an unrealized foreign currency translation gain of $44.1 million for the years ended December 31, 2025, 2024, and 2023, respectively, as reported in “Foreign currency translation adjustment during the period” within our Consolidated Statements of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PENN Entertainment,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0" w:after="200"/>
        <w:jc w:val="left"/>
        <w:rPr/>
      </w:pPr>
      <w:r>
        <w:rPr>
          <w:rFonts w:ascii="Times New Roman;serif" w:hAnsi="Times New Roman;serif"/>
          <w:b w:val="false"/>
          <w:color w:val="000000"/>
          <w:sz w:val="20"/>
        </w:rPr>
        <w:t xml:space="preserve">We have audited the accompanying consolidated balance sheets of PENN Entertainment, Inc. and its subsidiaries (the “Company”) as of December 31, 2025 and 2024, and the related consolidated statements of operations, of comprehensive loss, of changes in stockholders’ equity and of cash flows for the years then ended,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0" w:after="20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Interim Goodwill Impairment Test - Interactive Reporting Unit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Notes 2 and 8 to the consolidated financial statements, the Company’s goodwill balance was $1,786.6 million as of December 31, 2025, and the goodwill associated with the Interactive reporting unit was $774.8 million. Goodwill is tested for impairment annually on October 1 of each year, or more frequently if indicators of impairment exist. Management compares the fair value of its reporting units to the carrying amounts. If the carrying amount of the reporting unit exceeds the fair value, an impairment is recorded. As disclosed by management, during the third quarter of 2025, management identified an indicator of impairment on goodwill and performed an interim quantitative impairment test for the Interactive reporting unit, which resulted in a non-cash impairment charge of $825.0 million. For the quantitative goodwill impairment test, an income approach, in which a discounted cash flow model and a market-based approach using guideline public company multiples from the Company’s peer group were utilized in order to estimate the fair market value of the Company’s Interactive reporting unit. Significant assumptions utilized in the estimation of future cash flows for the Interactive reporting unit include forecasted revenues, the discount rate, and the terminal year earnings before interest, taxes, depreciation, and amortization (EBITDA) exit multiple.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performing procedures relating to the interim goodwill impairment test of the Interactive reporting unit is a critical audit matter are (i) the significant judgment by management when developing the fair value estimate of the Interactive reporting unit; (ii) a high degree of auditor judgment, subjectivity, and effort in performing procedures and evaluating management’s significant assumptions related to forecasted revenues, discount rate and terminal year EBITDA exit multiple used in the discounted cash flow model; and (iii) the audit effort involved the use of professionals with specialized skill and knowledge.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valuation of the Interactive reporting unit. These procedures also included, among others, (i) testing management’s process for developing the fair value estimates of the Interactive reporting unit; (ii) evaluating the appropriateness of the discounted cash flow model used by management; (iii) testing the completeness and accuracy of the underlying data used in the discounted cash flow model; and (iv) evaluating the reasonableness of the significant assumptions used by management related to forecasted revenues, discount rate, and terminal year EBITDA exit multiple. Evaluating management’s assumption related to forecasted revenues involved evaluating whether the assumption used by management was reasonable considering (i) the current and past performance of the Interactive reporting unit;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 (ii) the reasonableness of the discount rate and terminal year EBITDA exit multiple assumptions.</w:t>
      </w:r>
    </w:p>
    <w:p>
      <w:pPr>
        <w:pStyle w:val="TextBody"/>
        <w:bidi w:val="0"/>
        <w:spacing w:before="0" w:after="0"/>
        <w:jc w:val="left"/>
        <w:rPr/>
      </w:pPr>
      <w:r>
        <w:rPr/>
      </w:r>
    </w:p>
    <w:tbl>
      <w:tblPr>
        <w:tblW w:w="4530" w:type="dxa"/>
        <w:jc w:val="left"/>
        <w:tblInd w:w="0" w:type="dxa"/>
        <w:tblLayout w:type="fixed"/>
        <w:tblCellMar>
          <w:top w:w="28" w:type="dxa"/>
          <w:left w:w="28" w:type="dxa"/>
          <w:bottom w:w="28" w:type="dxa"/>
          <w:right w:w="28" w:type="dxa"/>
        </w:tblCellMar>
      </w:tblPr>
      <w:tblGrid>
        <w:gridCol w:w="1445"/>
        <w:gridCol w:w="1268"/>
        <w:gridCol w:w="1817"/>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PENN Entertainment, Inc.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statements of operations, comprehensive income (loss), changes in stockholders’ equity, and cash flows for the period ended December 31, 2023, and the related notes (collectively referred to as the “financial statements”) of PENN Entertainment, Inc. and subsidiaries (the “Company”). In our opinion, the financial statements present fairly, in all material respects, the results of the Company’s operations and its cash flows for the period ended December 31, 2023, in conformity with accounting principles generally accepted in the United States of America.</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tbl>
      <w:tblPr>
        <w:tblW w:w="8024" w:type="dxa"/>
        <w:jc w:val="left"/>
        <w:tblInd w:w="0" w:type="dxa"/>
        <w:tblLayout w:type="fixed"/>
        <w:tblCellMar>
          <w:top w:w="28" w:type="dxa"/>
          <w:left w:w="28" w:type="dxa"/>
          <w:bottom w:w="28" w:type="dxa"/>
          <w:right w:w="28" w:type="dxa"/>
        </w:tblCellMar>
      </w:tblPr>
      <w:tblGrid>
        <w:gridCol w:w="2564"/>
        <w:gridCol w:w="2251"/>
        <w:gridCol w:w="3209"/>
      </w:tblGrid>
      <w:tr>
        <w:trPr/>
        <w:tc>
          <w:tcPr>
            <w:tcW w:w="256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8024"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tc>
      </w:tr>
      <w:tr>
        <w:trPr/>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4"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tc>
      </w:tr>
      <w:tr>
        <w:trPr/>
        <w:tc>
          <w:tcPr>
            <w:tcW w:w="8024"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22, 2024 (February 27, 2025 as to Note 17)</w:t>
            </w:r>
          </w:p>
        </w:tc>
      </w:tr>
      <w:tr>
        <w:trPr/>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4"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We began serving as the Company’s auditor in 2017. In 2024 we became the predecessor auditor.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902"/>
        <w:gridCol w:w="2369"/>
        <w:gridCol w:w="2388"/>
        <w:gridCol w:w="196"/>
        <w:gridCol w:w="781"/>
        <w:gridCol w:w="109"/>
        <w:gridCol w:w="109"/>
        <w:gridCol w:w="109"/>
        <w:gridCol w:w="109"/>
        <w:gridCol w:w="196"/>
        <w:gridCol w:w="781"/>
        <w:gridCol w:w="156"/>
      </w:tblGrid>
      <w:tr>
        <w:trPr/>
        <w:tc>
          <w:tcPr>
            <w:tcW w:w="2902"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share and per share data)</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financing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 debt discount, and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financing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finance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87">
              <w:r>
                <w:rPr>
                  <w:rStyle w:val="InternetLink"/>
                  <w:rFonts w:ascii="Times New Roman;serif" w:hAnsi="Times New Roman;serif"/>
                  <w:b w:val="false"/>
                  <w:color w:val="0000FF"/>
                  <w:sz w:val="18"/>
                  <w:u w:val="single"/>
                </w:rPr>
                <w:t xml:space="preserve">Commitments and contingencies (Note 12) </w:t>
              </w:r>
            </w:hyperlink>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preferred stock ($0.01 par value, 1,000,000 shares authorized, no shares issued and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preferred stock ($0.01 par value, 18,500 shares authorized, no shares issued and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D preferred stock ($0.01 par value, 5,000 shares authorized, no shares issued and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400,000,000 shares authorized, 177,841,991 and 177,396,073 shares issued, 132,584,258 and 152,229,171 shares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Exchangeable shares ($0.01 par value, 768,441 shares authorized and issued in both periods, 379,821 and 466,534 shares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(45,257,733 and 25,166,902)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PENN Entertainment, Inc.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bl>
      <w:tblPr>
        <w:tblW w:w="8652" w:type="dxa"/>
        <w:jc w:val="left"/>
        <w:tblInd w:w="0" w:type="dxa"/>
        <w:tblLayout w:type="fixed"/>
        <w:tblCellMar>
          <w:top w:w="28" w:type="dxa"/>
          <w:left w:w="28" w:type="dxa"/>
          <w:bottom w:w="28" w:type="dxa"/>
          <w:right w:w="28" w:type="dxa"/>
        </w:tblCellMar>
      </w:tblPr>
      <w:tblGrid>
        <w:gridCol w:w="1699"/>
        <w:gridCol w:w="1490"/>
        <w:gridCol w:w="1506"/>
        <w:gridCol w:w="211"/>
        <w:gridCol w:w="766"/>
        <w:gridCol w:w="109"/>
        <w:gridCol w:w="109"/>
        <w:gridCol w:w="109"/>
        <w:gridCol w:w="109"/>
        <w:gridCol w:w="211"/>
        <w:gridCol w:w="766"/>
        <w:gridCol w:w="109"/>
        <w:gridCol w:w="109"/>
        <w:gridCol w:w="109"/>
        <w:gridCol w:w="109"/>
        <w:gridCol w:w="211"/>
        <w:gridCol w:w="76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Barstool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Barstool Acquisition,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REIT transactions,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financing arrangement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PENN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outstanding—diluted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tbl>
      <w:tblPr>
        <w:tblW w:w="9042" w:type="dxa"/>
        <w:jc w:val="center"/>
        <w:tblInd w:w="0" w:type="dxa"/>
        <w:tblLayout w:type="fixed"/>
        <w:tblCellMar>
          <w:top w:w="28" w:type="dxa"/>
          <w:left w:w="28" w:type="dxa"/>
          <w:bottom w:w="28" w:type="dxa"/>
          <w:right w:w="28" w:type="dxa"/>
        </w:tblCellMar>
      </w:tblPr>
      <w:tblGrid>
        <w:gridCol w:w="1923"/>
        <w:gridCol w:w="1685"/>
        <w:gridCol w:w="1702"/>
        <w:gridCol w:w="211"/>
        <w:gridCol w:w="691"/>
        <w:gridCol w:w="109"/>
        <w:gridCol w:w="109"/>
        <w:gridCol w:w="109"/>
        <w:gridCol w:w="109"/>
        <w:gridCol w:w="211"/>
        <w:gridCol w:w="691"/>
        <w:gridCol w:w="109"/>
        <w:gridCol w:w="109"/>
        <w:gridCol w:w="109"/>
        <w:gridCol w:w="109"/>
        <w:gridCol w:w="211"/>
        <w:gridCol w:w="691"/>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debt securities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during the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PENN Entertainment,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pStyle w:val="TextBody"/>
        <w:bidi w:val="0"/>
        <w:spacing w:before="18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tbl>
      <w:tblPr>
        <w:tblW w:w="15726" w:type="dxa"/>
        <w:jc w:val="center"/>
        <w:tblInd w:w="0" w:type="dxa"/>
        <w:tblLayout w:type="fixed"/>
        <w:tblCellMar>
          <w:top w:w="28" w:type="dxa"/>
          <w:left w:w="28" w:type="dxa"/>
          <w:bottom w:w="28" w:type="dxa"/>
          <w:right w:w="28" w:type="dxa"/>
        </w:tblCellMar>
      </w:tblPr>
      <w:tblGrid>
        <w:gridCol w:w="519"/>
        <w:gridCol w:w="205"/>
        <w:gridCol w:w="207"/>
        <w:gridCol w:w="202"/>
        <w:gridCol w:w="204"/>
        <w:gridCol w:w="151"/>
        <w:gridCol w:w="109"/>
        <w:gridCol w:w="109"/>
        <w:gridCol w:w="109"/>
        <w:gridCol w:w="181"/>
        <w:gridCol w:w="406"/>
        <w:gridCol w:w="109"/>
        <w:gridCol w:w="109"/>
        <w:gridCol w:w="109"/>
        <w:gridCol w:w="109"/>
        <w:gridCol w:w="571"/>
        <w:gridCol w:w="300"/>
        <w:gridCol w:w="301"/>
        <w:gridCol w:w="109"/>
        <w:gridCol w:w="109"/>
        <w:gridCol w:w="109"/>
        <w:gridCol w:w="181"/>
        <w:gridCol w:w="316"/>
        <w:gridCol w:w="109"/>
        <w:gridCol w:w="109"/>
        <w:gridCol w:w="109"/>
        <w:gridCol w:w="109"/>
        <w:gridCol w:w="361"/>
        <w:gridCol w:w="270"/>
        <w:gridCol w:w="271"/>
        <w:gridCol w:w="109"/>
        <w:gridCol w:w="109"/>
        <w:gridCol w:w="109"/>
        <w:gridCol w:w="181"/>
        <w:gridCol w:w="406"/>
        <w:gridCol w:w="109"/>
        <w:gridCol w:w="109"/>
        <w:gridCol w:w="109"/>
        <w:gridCol w:w="109"/>
        <w:gridCol w:w="181"/>
        <w:gridCol w:w="586"/>
        <w:gridCol w:w="109"/>
        <w:gridCol w:w="109"/>
        <w:gridCol w:w="109"/>
        <w:gridCol w:w="109"/>
        <w:gridCol w:w="181"/>
        <w:gridCol w:w="571"/>
        <w:gridCol w:w="109"/>
        <w:gridCol w:w="109"/>
        <w:gridCol w:w="109"/>
        <w:gridCol w:w="109"/>
        <w:gridCol w:w="181"/>
        <w:gridCol w:w="586"/>
        <w:gridCol w:w="109"/>
        <w:gridCol w:w="109"/>
        <w:gridCol w:w="109"/>
        <w:gridCol w:w="109"/>
        <w:gridCol w:w="215"/>
        <w:gridCol w:w="571"/>
        <w:gridCol w:w="130"/>
        <w:gridCol w:w="109"/>
        <w:gridCol w:w="109"/>
        <w:gridCol w:w="109"/>
        <w:gridCol w:w="181"/>
        <w:gridCol w:w="571"/>
        <w:gridCol w:w="109"/>
        <w:gridCol w:w="327"/>
        <w:gridCol w:w="275"/>
        <w:gridCol w:w="504"/>
        <w:gridCol w:w="167"/>
        <w:gridCol w:w="327"/>
        <w:gridCol w:w="181"/>
        <w:gridCol w:w="571"/>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PENN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Total </w:t>
              <w:br/>
              <w:t>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 except share data)</w:t>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PENN Entertainment, Inc.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152,903,708 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997,137 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issuance in connection with acquisitions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2,442,809 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(5,438,221)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580,600 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issuance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debt securities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151,552,694 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560,267 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510,641 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issuance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161,781 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(161,781)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debt securities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152,229,171 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466,534 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359,205 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(20,090,831)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debt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132,584,258 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379,821 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(193.3)</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9866" w:type="dxa"/>
        <w:jc w:val="left"/>
        <w:tblInd w:w="0" w:type="dxa"/>
        <w:tblLayout w:type="fixed"/>
        <w:tblCellMar>
          <w:top w:w="28" w:type="dxa"/>
          <w:left w:w="28" w:type="dxa"/>
          <w:bottom w:w="28" w:type="dxa"/>
          <w:right w:w="28" w:type="dxa"/>
        </w:tblCellMar>
      </w:tblPr>
      <w:tblGrid>
        <w:gridCol w:w="2306"/>
        <w:gridCol w:w="2025"/>
        <w:gridCol w:w="2028"/>
        <w:gridCol w:w="196"/>
        <w:gridCol w:w="631"/>
        <w:gridCol w:w="109"/>
        <w:gridCol w:w="109"/>
        <w:gridCol w:w="109"/>
        <w:gridCol w:w="109"/>
        <w:gridCol w:w="196"/>
        <w:gridCol w:w="631"/>
        <w:gridCol w:w="109"/>
        <w:gridCol w:w="109"/>
        <w:gridCol w:w="109"/>
        <w:gridCol w:w="109"/>
        <w:gridCol w:w="196"/>
        <w:gridCol w:w="631"/>
        <w:gridCol w:w="154"/>
      </w:tblGrid>
      <w:tr>
        <w:trPr/>
        <w:tc>
          <w:tcPr>
            <w:tcW w:w="230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Barstool Acquisition,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REIT transactions,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Barstool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or disposal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Agreement warrant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businesses acquired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sale-and-leaseback transactions in conjunction with development projects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Barstool Sports, net of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paid for acquisitions of businesses,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paid for gaming licenses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(742.6)</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8951" w:type="dxa"/>
        <w:jc w:val="left"/>
        <w:tblInd w:w="0" w:type="dxa"/>
        <w:tblLayout w:type="fixed"/>
        <w:tblCellMar>
          <w:top w:w="28" w:type="dxa"/>
          <w:left w:w="28" w:type="dxa"/>
          <w:bottom w:w="28" w:type="dxa"/>
          <w:right w:w="28" w:type="dxa"/>
        </w:tblCellMar>
      </w:tblPr>
      <w:tblGrid>
        <w:gridCol w:w="2005"/>
        <w:gridCol w:w="1761"/>
        <w:gridCol w:w="1768"/>
        <w:gridCol w:w="196"/>
        <w:gridCol w:w="556"/>
        <w:gridCol w:w="109"/>
        <w:gridCol w:w="109"/>
        <w:gridCol w:w="109"/>
        <w:gridCol w:w="109"/>
        <w:gridCol w:w="196"/>
        <w:gridCol w:w="556"/>
        <w:gridCol w:w="109"/>
        <w:gridCol w:w="109"/>
        <w:gridCol w:w="109"/>
        <w:gridCol w:w="109"/>
        <w:gridCol w:w="196"/>
        <w:gridCol w:w="691"/>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revolving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convertible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other long-term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financing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insurance financing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Indemnification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rate changes on cash,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end of the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57" w:type="dxa"/>
        <w:jc w:val="center"/>
        <w:tblInd w:w="0" w:type="dxa"/>
        <w:tblLayout w:type="fixed"/>
        <w:tblCellMar>
          <w:top w:w="28" w:type="dxa"/>
          <w:left w:w="28" w:type="dxa"/>
          <w:bottom w:w="28" w:type="dxa"/>
          <w:right w:w="28" w:type="dxa"/>
        </w:tblCellMar>
      </w:tblPr>
      <w:tblGrid>
        <w:gridCol w:w="1717"/>
        <w:gridCol w:w="1504"/>
        <w:gridCol w:w="1519"/>
        <w:gridCol w:w="196"/>
        <w:gridCol w:w="556"/>
        <w:gridCol w:w="109"/>
        <w:gridCol w:w="109"/>
        <w:gridCol w:w="109"/>
        <w:gridCol w:w="109"/>
        <w:gridCol w:w="196"/>
        <w:gridCol w:w="556"/>
        <w:gridCol w:w="109"/>
        <w:gridCol w:w="109"/>
        <w:gridCol w:w="109"/>
        <w:gridCol w:w="109"/>
        <w:gridCol w:w="196"/>
        <w:gridCol w:w="691"/>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1—Organization </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Organization: </w:t>
      </w:r>
      <w:r>
        <w:rPr>
          <w:rFonts w:ascii="Times New Roman;serif" w:hAnsi="Times New Roman;serif"/>
          <w:b w:val="false"/>
          <w:color w:val="000000"/>
          <w:sz w:val="20"/>
        </w:rPr>
        <w:t>PENN Entertainment, Inc., together with its subsidiaries (“PENN,” the “Company,” “we,” “our,” or “us”), operates in 28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33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and collectively referred to as the “Master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2—Significant Accounting Policies and Basis of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The Consolidated Financial Statements of the Company have been prepared in accordance with generally accepted accounting principles in the United States (“GAAP”) and with the rules and regulations of the United States (“U.S.”) Securities and Exchange Commission.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Principles of Consolidation: </w:t>
      </w:r>
      <w:r>
        <w:rPr>
          <w:rFonts w:ascii="Times New Roman;serif" w:hAnsi="Times New Roman;serif"/>
          <w:b w:val="false"/>
          <w:color w:val="000000"/>
          <w:sz w:val="20"/>
        </w:rPr>
        <w:t>The Consolidated Financial Statements include the accounts of PENN Entertainment, Inc. and its subsidiaries. 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Reclassifications: </w:t>
      </w:r>
      <w:r>
        <w:rPr>
          <w:rFonts w:ascii="Times New Roman;serif" w:hAnsi="Times New Roman;serif"/>
          <w:b w:val="false"/>
          <w:color w:val="000000"/>
          <w:sz w:val="20"/>
        </w:rPr>
        <w:t>Certain reclassifications have been made to conform the prior period presentation with current year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 xml:space="preserve">The preparation of Consolidated Financial Statements in conformity with GAAP requires management to make estimates and assumptions that affect (i) the reported amounts of assets and liabilities, (ii) the disclosure of contingent assets and liabilities at the date of the Consolidated Financial Statements, and (iii) the reported amounts of revenues and expenses during the reporting period. Estimates used by us may include, among other things, the useful lives for depreciable and amortizable assets, the provision for credit losses, income tax provisions, the evaluation of the future realization of deferred tax assets, indemnification liabilities associated with certain tax matters, determining the adequacy of reserves for self-insured liabilities, the liabilities associated with our PENN Play program, the initial measurements of financing obligations and lease liabilities associated with our Triple Net Leases (as defined in </w:t>
      </w:r>
      <w:hyperlink w:anchor="ic1a494480e6146a1a6acab9187fe13be_181">
        <w:r>
          <w:rPr>
            <w:rStyle w:val="InternetLink"/>
            <w:rFonts w:ascii="Times New Roman;serif" w:hAnsi="Times New Roman;serif"/>
            <w:b w:val="false"/>
            <w:color w:val="0000FF"/>
            <w:sz w:val="20"/>
            <w:u w:val="single"/>
          </w:rPr>
          <w:t>Note 11, “Leases”</w:t>
        </w:r>
      </w:hyperlink>
      <w:r>
        <w:rPr>
          <w:rFonts w:ascii="Times New Roman;serif" w:hAnsi="Times New Roman;serif"/>
          <w:b w:val="false"/>
          <w:color w:val="000000"/>
          <w:sz w:val="20"/>
        </w:rPr>
        <w:t>), the initial selection of useful lives for depreciable and amortizable assets related to acquisitions, contingencies, and litigation inclusive of financing arrangements in which the Company receives up-front cash proceeds, and stock-based compensation expense. Additionally, we use estimates for projected cash flows when assessing (i) the recoverability of long lived assets, goodwill, and other intangible assets, (ii) the initial valuation of intangible assets in conjunction with acquisitions, and (iii) the fair value of land and building components during lease classification tests. We applied estimation methods consistently for the periods presented within our Consolidated Financial Statements. Actual results may differ from those estimates.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Segment Information: </w:t>
      </w:r>
      <w:r>
        <w:rPr>
          <w:rFonts w:ascii="Times New Roman;serif" w:hAnsi="Times New Roman;serif"/>
          <w:b w:val="false"/>
          <w:color w:val="000000"/>
          <w:sz w:val="20"/>
        </w:rPr>
        <w:t>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betting, and media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See </w:t>
      </w:r>
      <w:hyperlink w:anchor="ic1a494480e6146a1a6acab9187fe13be_205">
        <w:r>
          <w:rPr>
            <w:rStyle w:val="InternetLink"/>
            <w:rFonts w:ascii="Times New Roman;serif" w:hAnsi="Times New Roman;serif"/>
            <w:b w:val="false"/>
            <w:color w:val="0000FF"/>
            <w:sz w:val="20"/>
            <w:u w:val="single"/>
          </w:rPr>
          <w:t>Note 17, “Segment Information”</w:t>
        </w:r>
      </w:hyperlink>
      <w:r>
        <w:rPr>
          <w:color w:val="000000"/>
        </w:rPr>
        <w:t xml:space="preserve"> </w:t>
      </w:r>
      <w:r>
        <w:rPr>
          <w:rFonts w:ascii="Times New Roman;serif" w:hAnsi="Times New Roman;serif"/>
          <w:b w:val="false"/>
          <w:color w:val="000000"/>
          <w:sz w:val="20"/>
        </w:rPr>
        <w:t xml:space="preserve">and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for further segment and lease structure information, respectively. For financial reporting purposes, we aggregate our operating segments into the following reportable segments:</w:t>
      </w:r>
    </w:p>
    <w:tbl>
      <w:tblPr>
        <w:tblW w:w="9926" w:type="dxa"/>
        <w:jc w:val="left"/>
        <w:tblInd w:w="0" w:type="dxa"/>
        <w:tblLayout w:type="fixed"/>
        <w:tblCellMar>
          <w:top w:w="28" w:type="dxa"/>
          <w:left w:w="28" w:type="dxa"/>
          <w:bottom w:w="28" w:type="dxa"/>
          <w:right w:w="28" w:type="dxa"/>
        </w:tblCellMar>
      </w:tblPr>
      <w:tblGrid>
        <w:gridCol w:w="1383"/>
        <w:gridCol w:w="1215"/>
        <w:gridCol w:w="1227"/>
        <w:gridCol w:w="699"/>
        <w:gridCol w:w="699"/>
        <w:gridCol w:w="702"/>
        <w:gridCol w:w="109"/>
        <w:gridCol w:w="109"/>
        <w:gridCol w:w="109"/>
        <w:gridCol w:w="1073"/>
        <w:gridCol w:w="1073"/>
        <w:gridCol w:w="1528"/>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Assets Lease or Ownership Structure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Northeast segment</w:t>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Maine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West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Greektown</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Detroit, 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Morgantown,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Morgantown Lease </w:t>
            </w:r>
            <w:r>
              <w:rPr>
                <w:rFonts w:ascii="Times New Roman;serif" w:hAnsi="Times New Roman;serif"/>
                <w:b w:val="false"/>
                <w:color w:val="000000"/>
                <w:sz w:val="10"/>
              </w:rPr>
              <w:t>(1)</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York</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York,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Lease (not with REIT Landlord)</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Dayton Raceway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Mahoning Valley Race Course</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Marquee by PENN</w:t>
            </w:r>
            <w:r>
              <w:rPr>
                <w:color w:val="000000"/>
              </w:rPr>
              <w:t xml:space="preserve"> </w:t>
            </w:r>
            <w:r>
              <w:rPr>
                <w:rFonts w:ascii="Times New Roman;serif" w:hAnsi="Times New Roman;serif"/>
                <w:b w:val="false"/>
                <w:color w:val="000000"/>
                <w:sz w:val="10"/>
              </w:rPr>
              <w:t>(2)</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Plainville,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South segment</w:t>
            </w:r>
            <w:r>
              <w:rPr>
                <w:color w:val="000000"/>
              </w:rPr>
              <w:t xml:space="preserve"> </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w:t>
            </w:r>
            <w:r>
              <w:rPr>
                <w:rFonts w:ascii="Times New Roman;serif" w:hAnsi="Times New Roman;serif"/>
                <w:b w:val="false"/>
                <w:color w:val="000000"/>
                <w:sz w:val="10"/>
              </w:rPr>
              <w:t>st</w:t>
            </w:r>
            <w:r>
              <w:rPr>
                <w:color w:val="000000"/>
              </w:rPr>
              <w:t xml:space="preserve"> </w:t>
            </w:r>
            <w:r>
              <w:rPr>
                <w:rFonts w:ascii="Times New Roman;serif" w:hAnsi="Times New Roman;serif"/>
                <w:b w:val="false"/>
                <w:color w:val="000000"/>
                <w:sz w:val="16"/>
              </w:rPr>
              <w:t>Jackpot Casino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Margaritaville Resort Casino</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West segment</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Cactus Petes and Horseshu</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 Spa Casino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Midwest segment</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Council Bluffs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Argosy Casino Alton </w:t>
            </w:r>
            <w:r>
              <w:rPr>
                <w:rFonts w:ascii="Times New Roman;serif" w:hAnsi="Times New Roman;serif"/>
                <w:b w:val="false"/>
                <w:color w:val="000000"/>
                <w:sz w:val="10"/>
              </w:rPr>
              <w:t>(3)</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Hollywood Casino at Kansas Speedway </w:t>
            </w:r>
            <w:r>
              <w:rPr>
                <w:rFonts w:ascii="Times New Roman;serif" w:hAnsi="Times New Roman;serif"/>
                <w:b w:val="false"/>
                <w:color w:val="000000"/>
                <w:sz w:val="10"/>
              </w:rPr>
              <w:t>(4)</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Owned - Joint Venture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Prairie State Gaming</w:t>
            </w:r>
            <w:r>
              <w:rPr>
                <w:color w:val="000000"/>
              </w:rPr>
              <w:t xml:space="preserve"> </w:t>
            </w:r>
            <w:r>
              <w:rPr>
                <w:rFonts w:ascii="Times New Roman;serif" w:hAnsi="Times New Roman;serif"/>
                <w:b w:val="false"/>
                <w:color w:val="000000"/>
                <w:sz w:val="10"/>
              </w:rPr>
              <w:t>(2)</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(1)Upon termination of the Morgantown Lease, ownership of the constructed building and all tenant improvements will transfer from the Company to GLPI.</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(2)VGT route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riverboat is owned by us and not subject to the AR PENN Master Lease.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(4)Pursuant to a joint venture with NASCAR Holdings LLC (“NASCAR”) and includes the Company’s 50% investment in Kansas Entertainment, LLC (“Kansas Entertainment”), which owns Hollywood Casino at Kansas Speedway.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Cash and Cash Equivalents: </w:t>
      </w:r>
      <w:r>
        <w:rPr>
          <w:rFonts w:ascii="Times New Roman;serif" w:hAnsi="Times New Roman;serif"/>
          <w:b w:val="false"/>
          <w:color w:val="000000"/>
          <w:sz w:val="20"/>
        </w:rPr>
        <w:t>The Company considers all cash balances and highly-liquid investments with original maturities of three months or less at the date of purchase to be cash and cash equivalents.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Concentration of Credit Risk: </w:t>
      </w:r>
      <w:r>
        <w:rPr>
          <w:rFonts w:ascii="Times New Roman;serif" w:hAnsi="Times New Roman;serif"/>
          <w:b w:val="false"/>
          <w:color w:val="000000"/>
          <w:sz w:val="20"/>
        </w:rPr>
        <w:t>Financial instruments that subject the Company to credit risk consist of cash and cash equivalents and accounts receivable. The Company’s policy is to limit the amount of credit exposure to any one financial institution, and place investments with financial institutions evaluated as being creditworthy, or in short-term money market funds which are exposed to minimal interest rate and credit risk. The Company has bank deposits and overnight repurchase agreements that exceed federally-insured limits.</w:t>
      </w:r>
    </w:p>
    <w:p>
      <w:pPr>
        <w:pStyle w:val="TextBody"/>
        <w:bidi w:val="0"/>
        <w:spacing w:lineRule="auto" w:line="288" w:before="0" w:after="200"/>
        <w:ind w:left="0" w:right="0" w:firstLine="360"/>
        <w:jc w:val="left"/>
        <w:rPr/>
      </w:pPr>
      <w:r>
        <w:rPr>
          <w:rFonts w:ascii="Times New Roman;serif" w:hAnsi="Times New Roman;serif"/>
          <w:b w:val="false"/>
          <w:color w:val="000000"/>
          <w:sz w:val="20"/>
        </w:rPr>
        <w:t>Concentration of credit risk, with respect to casino receivables, is limited through the Company’s credit evaluation process. The Company issues markers to approved casino customers following investigations of creditworthiness. The Company utilizes a forward-looking current expected credit loss model to measure the provision for credit losses.</w:t>
      </w:r>
      <w:r>
        <w:rPr>
          <w:color w:val="000000"/>
        </w:rPr>
        <w:t xml:space="preserve"> </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receivables as of December 31, 2025 and 2024 primarily consisted of the following:</w:t>
      </w:r>
    </w:p>
    <w:tbl>
      <w:tblPr>
        <w:tblW w:w="9159" w:type="dxa"/>
        <w:jc w:val="left"/>
        <w:tblInd w:w="0" w:type="dxa"/>
        <w:tblLayout w:type="fixed"/>
        <w:tblCellMar>
          <w:top w:w="28" w:type="dxa"/>
          <w:left w:w="28" w:type="dxa"/>
          <w:bottom w:w="28" w:type="dxa"/>
          <w:right w:w="28" w:type="dxa"/>
        </w:tblCellMar>
      </w:tblPr>
      <w:tblGrid>
        <w:gridCol w:w="2506"/>
        <w:gridCol w:w="2201"/>
        <w:gridCol w:w="2208"/>
        <w:gridCol w:w="211"/>
        <w:gridCol w:w="616"/>
        <w:gridCol w:w="109"/>
        <w:gridCol w:w="109"/>
        <w:gridCol w:w="109"/>
        <w:gridCol w:w="109"/>
        <w:gridCol w:w="211"/>
        <w:gridCol w:w="616"/>
        <w:gridCol w:w="154"/>
      </w:tblGrid>
      <w:tr>
        <w:trPr/>
        <w:tc>
          <w:tcPr>
            <w:tcW w:w="250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Markers and returned checks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processors, credit card, and other advances to customers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ATM and cash kiosk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and banquet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Online gaming and licensing receivables from third-party operators, including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pPr>
      <w:r>
        <w:rPr>
          <w:rFonts w:ascii="Times New Roman;serif" w:hAnsi="Times New Roman;serif"/>
          <w:b/>
          <w:i/>
          <w:color w:val="000000"/>
          <w:sz w:val="20"/>
        </w:rPr>
        <w:t xml:space="preserve">Property and Equipment, Net: </w:t>
      </w:r>
      <w:r>
        <w:rPr>
          <w:rFonts w:ascii="Times New Roman;serif" w:hAnsi="Times New Roman;serif"/>
          <w:b w:val="false"/>
          <w:color w:val="000000"/>
          <w:sz w:val="20"/>
        </w:rPr>
        <w:t>Property and equipment are stated at cost, less accumulated depreciation. Capital expenditures are accounted for as either project capital (new facilities or expansions) or maintenance (replacement). Project capital expenditures are for fixed asset additions associated with constructing new facilities, or expansions of existing facilities. Maintenance capital expenditures are expenditures to replace existing fixed assets with a useful life greater than one year that are obsolete, worn out or no longer cost-effective to repair. Maintenance and repairs that neither add materially to the value of the asset nor appreciably prolong its useful life are charged to expense as incurred. Gains or losses on the disposal of property and equipment are included in the determination of income.</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useful lives of property and equipment are determined based on the nature of the assets as well as the Company’s current operating strategy. Depreciation of property and equipment is recorded using the straight-line method over the shorter of the estimated useful life of the asset or the related lease term, if any, as follows:</w:t>
      </w:r>
    </w:p>
    <w:tbl>
      <w:tblPr>
        <w:tblW w:w="3705" w:type="dxa"/>
        <w:jc w:val="left"/>
        <w:tblInd w:w="0" w:type="dxa"/>
        <w:tblLayout w:type="fixed"/>
        <w:tblCellMar>
          <w:top w:w="28" w:type="dxa"/>
          <w:left w:w="28" w:type="dxa"/>
          <w:bottom w:w="28" w:type="dxa"/>
          <w:right w:w="28" w:type="dxa"/>
        </w:tblCellMar>
      </w:tblPr>
      <w:tblGrid>
        <w:gridCol w:w="1043"/>
        <w:gridCol w:w="916"/>
        <w:gridCol w:w="921"/>
        <w:gridCol w:w="241"/>
        <w:gridCol w:w="241"/>
        <w:gridCol w:w="343"/>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31</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Vessels</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31</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to 31</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All costs funded by the Company considered to be an improvement to the real estate assets subject to any of our Triple Net Leases (as defined in </w:t>
      </w:r>
      <w:hyperlink w:anchor="ic1a494480e6146a1a6acab9187fe13be_181">
        <w:r>
          <w:rPr>
            <w:rStyle w:val="InternetLink"/>
            <w:rFonts w:ascii="Times New Roman;serif" w:hAnsi="Times New Roman;serif"/>
            <w:b w:val="false"/>
            <w:color w:val="0000FF"/>
            <w:sz w:val="20"/>
            <w:u w:val="single"/>
          </w:rPr>
          <w:t>Note 11, “Leases”</w:t>
        </w:r>
      </w:hyperlink>
      <w:r>
        <w:rPr>
          <w:rFonts w:ascii="Times New Roman;serif" w:hAnsi="Times New Roman;serif"/>
          <w:b w:val="false"/>
          <w:color w:val="000000"/>
          <w:sz w:val="20"/>
        </w:rPr>
        <w:t>) are recorded as leasehold improvements. Leasehold improvements are depreciated over the shorter of the estimated useful life of the improvement or the related lease term.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carrying amount of its property and equipment for possible impairment whenever events or changes in circumstances indicate that the carrying amount of an asset may not be recoverable based on undiscounted estimated future cash flows expected to result from its use and eventual disposition. The factors considered by the Company in performing this assessment include current operating results, trends and prospects, as well as the effect of obsolescence, demand, competition, and other regulatory and 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For purposes of recognizing and measuring impairment, assets are grouped at the individual property level representing the lowest level for which identifiable cash flows are largely independent of the cash flows of other assets. In assessing the recoverability of the carrying amount of property and equipment, we must make assumptions regarding future cash flows and other factors. If these estimates or the related assumptions change in the future, we may be required to record an impairment loss for these assets. Such an impairment loss would be recognized as a non-cash component of operating income. See </w:t>
      </w:r>
      <w:hyperlink w:anchor="ic1a494480e6146a1a6acab9187fe13be_166">
        <w:r>
          <w:rPr>
            <w:rStyle w:val="InternetLink"/>
            <w:rFonts w:ascii="Times New Roman;serif" w:hAnsi="Times New Roman;serif"/>
            <w:b w:val="false"/>
            <w:color w:val="0000FF"/>
            <w:sz w:val="20"/>
            <w:u w:val="single"/>
          </w:rPr>
          <w:t>Note 7, “Property and Equipment, Net.”</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Goodwill and Other Intangible Assets: </w:t>
      </w:r>
      <w:r>
        <w:rPr>
          <w:rFonts w:ascii="Times New Roman;serif" w:hAnsi="Times New Roman;serif"/>
          <w:b w:val="false"/>
          <w:color w:val="000000"/>
          <w:sz w:val="20"/>
        </w:rPr>
        <w:t>Goodwill represents the future economic benefits of a business combination measured as the excess of the purchase price over the fair value of net assets acquired and has been allocated to our reporting units. Goodwill is tested for impairment annually on October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each year, or more frequently if indicators of impairment exist. For the quantitative goodwill impairment test, an income approach, in which a discounted cash flow (“DCF”) model is utilized, and a market-based approach using guideline public company multiples of earnings before interest, taxes, depreciation, and amortization (“EBITDA”) from the Company’s peer group are utilized in order to estimate the fair market value of the Company’s reporting units. In determining the carrying amount of each reporting unit that utilizes real estate assets subject to our Triple Net Leases (as defined in </w:t>
      </w:r>
      <w:hyperlink w:anchor="ic1a494480e6146a1a6acab9187fe13be_181">
        <w:r>
          <w:rPr>
            <w:rStyle w:val="InternetLink"/>
            <w:rFonts w:ascii="Times New Roman;serif" w:hAnsi="Times New Roman;serif"/>
            <w:b w:val="false"/>
            <w:color w:val="0000FF"/>
            <w:sz w:val="20"/>
            <w:u w:val="single"/>
          </w:rPr>
          <w:t>Note 11, “Leases”</w:t>
        </w:r>
      </w:hyperlink>
      <w:r>
        <w:rPr>
          <w:rFonts w:ascii="Times New Roman;serif" w:hAnsi="Times New Roman;serif"/>
          <w:b w:val="false"/>
          <w:color w:val="000000"/>
          <w:sz w:val="20"/>
        </w:rPr>
        <w:t>), if and as applicable, (i) the Company allocates each reporting unit their pro-rata portion of the right-of-use (“ROU”) assets, lease liabilities, and/or financing obligations, and (ii) pushes down the carrying amount of the property and equipment subject to such leases. The Company compares the fair value of its reporting units to the carrying amounts. If the carrying amount of the reporting unit exceeds the fair value, an impairment is recorded equal to the amount of the excess (not to exceed the amount of goodwill allocated to the reporting unit).</w:t>
      </w:r>
    </w:p>
    <w:p>
      <w:pPr>
        <w:pStyle w:val="TextBody"/>
        <w:bidi w:val="0"/>
        <w:spacing w:lineRule="auto" w:line="288" w:before="0" w:after="200"/>
        <w:ind w:left="0" w:right="0" w:firstLine="360"/>
        <w:jc w:val="left"/>
        <w:rPr/>
      </w:pPr>
      <w:r>
        <w:rPr>
          <w:rFonts w:ascii="Times New Roman;serif" w:hAnsi="Times New Roman;serif"/>
          <w:b w:val="false"/>
          <w:color w:val="000000"/>
          <w:sz w:val="20"/>
        </w:rPr>
        <w:t>We consider our gaming licenses, trademarks, and certain other intangible assets to be indefinite-lived based on our future expectations to operate our gaming properties indefinitely as well as our historical experience in renewing these intangible assets at minimal cost with various state and provincial commissions. Indefinite-lived intangible assets are tested annually for impairment on October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each year, or more frequently if indicators of impairment exist, by comparing the fair value of the recorded assets to their carrying amount. If the carrying amounts of the indefinite-lived intangible assets exceed their fair value, an impairment is recognized. The Company completes its testing of its indefinite-lived intangible assets prior to assessing the realizability of its goodwill.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assesses the fair value of its gaming licenses using the Greenfield Method under the income approach, which estimates the fair value using a DCF model assuming the Company built a casino with similar utility to that of the existing casino. The method assumes a theoretical start-up company going into business without any assets other than the intangible asset being valued. The Company assesses the fair value of its trademarks using the relief-from-royalty method under the income approach. The principle behind this method is that the value of the trademark is equal to the present value of the after-tax royalty savings attributable to the owned trademark.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intangible assets that have a definite-life, including gaming technology and media technology, are amortized on a straight-line basis over their estimated useful lives or related service contract. The Company reviews the carrying amount of its amortizing intangible assets for possible impairment whenever events or changes in circumstances indicate that their carrying amount may not be recoverable. Should events and circumstances indicate amortizing intangible assets may not be recoverable, the Company performs a test for recoverability whereby estimated undiscounted cash flows are compared to the carrying values of the assets. Should the estimated undiscounted cash flows exceed the carrying value, no impairments are recorded. If the undiscounted cash flows do not exceed the carrying values, an impairment is recorded based on the fair value of the asset, typically measured using either a discounted cash flow or replacement cost approach.</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Once an impairment of goodwill or other intangible asset has been recorded, it cannot be reversed. See </w:t>
      </w:r>
      <w:hyperlink w:anchor="ic1a494480e6146a1a6acab9187fe13be_169">
        <w:r>
          <w:rPr>
            <w:rStyle w:val="InternetLink"/>
            <w:rFonts w:ascii="Times New Roman;serif" w:hAnsi="Times New Roman;serif"/>
            <w:b w:val="false"/>
            <w:color w:val="0000FF"/>
            <w:sz w:val="20"/>
            <w:u w:val="single"/>
          </w:rPr>
          <w:t>Note 8, “Goodwill and Other Intangible Assets.”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Convertible Debt:</w:t>
      </w:r>
      <w:r>
        <w:rPr>
          <w:color w:val="000000"/>
        </w:rPr>
        <w:t xml:space="preserve"> </w:t>
      </w:r>
      <w:r>
        <w:rPr>
          <w:rFonts w:ascii="Times New Roman;serif" w:hAnsi="Times New Roman;serif"/>
          <w:b w:val="false"/>
          <w:color w:val="000000"/>
          <w:sz w:val="20"/>
        </w:rPr>
        <w:t xml:space="preserve">Our Convertible Notes (as defined within </w:t>
      </w:r>
      <w:hyperlink w:anchor="ic1a494480e6146a1a6acab9187fe13be_175">
        <w:r>
          <w:rPr>
            <w:rStyle w:val="InternetLink"/>
            <w:rFonts w:ascii="Times New Roman;serif" w:hAnsi="Times New Roman;serif"/>
            <w:b w:val="false"/>
            <w:color w:val="0000FF"/>
            <w:sz w:val="20"/>
            <w:u w:val="single"/>
          </w:rPr>
          <w:t>Note 10, “Long-term Debt”</w:t>
        </w:r>
      </w:hyperlink>
      <w:r>
        <w:rPr>
          <w:rFonts w:ascii="Times New Roman;serif" w:hAnsi="Times New Roman;serif"/>
          <w:b w:val="false"/>
          <w:color w:val="000000"/>
          <w:sz w:val="20"/>
        </w:rPr>
        <w:t xml:space="preserve">) are accounted for in accordance with Accounting Standards Codification (“ASC”) 470-20, “Debt with Conversion and Other Options” (“ASC 470-20”). The Convertible Notes are accounted for as a single liability measured at amortized cost, as no embedded features require bifurcation. See </w:t>
      </w:r>
      <w:hyperlink w:anchor="ic1a494480e6146a1a6acab9187fe13be_175">
        <w:r>
          <w:rPr>
            <w:rStyle w:val="InternetLink"/>
            <w:rFonts w:ascii="Times New Roman;serif" w:hAnsi="Times New Roman;serif"/>
            <w:b w:val="false"/>
            <w:color w:val="0000FF"/>
            <w:sz w:val="20"/>
            <w:u w:val="single"/>
          </w:rPr>
          <w:t>Note 10, “Long-term Debt”</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Financing Obligations: </w:t>
      </w:r>
      <w:r>
        <w:rPr>
          <w:rFonts w:ascii="Times New Roman;serif" w:hAnsi="Times New Roman;serif"/>
          <w:b w:val="false"/>
          <w:color w:val="000000"/>
          <w:sz w:val="20"/>
        </w:rPr>
        <w:t xml:space="preserve">In accordance with ASC Topic 842, “Leases,” (“ASC 842”) for transactions in which the Company enters into a contract to sell an asset and leases it back from the seller under a sale and leaseback transaction, the Company must determine whether control of the asset has transferred from the Company. In cases whereby control has not transferred from the Company, we continue to recognize the underlying asset as “Property and equipment, net” within the Consolidated Balance Sheets, which is then depreciated over the shorter of the remaining useful life or lease term. Additionally, a financial liability is recognized and referred to as a financing obligation, in accordance with ASC 470, “Debt” (“ASC 470”).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accounting for financing obligations under ASC 470 is materially consistent with the accounting for finance leases under ASC 842. The Company recognizes interest expense on the minimum lease payments related to a financing obligation under the effective yield method. Contingent payments are recorded to interest expense as incurred. Principal payments associated with financing obligations are presented as financing cash outflows and interest payments associated with financing obligations are presented as operating cash outflows within our Consolidated Statements of Cash Flows. For more information, see </w:t>
      </w:r>
      <w:hyperlink w:anchor="ic1a494480e6146a1a6acab9187fe13be_166">
        <w:r>
          <w:rPr>
            <w:rStyle w:val="InternetLink"/>
            <w:rFonts w:ascii="Times New Roman;serif" w:hAnsi="Times New Roman;serif"/>
            <w:b w:val="false"/>
            <w:color w:val="0000FF"/>
            <w:sz w:val="20"/>
            <w:u w:val="single"/>
          </w:rPr>
          <w:t>Note 7, “Property and Equipment, Net”</w:t>
        </w:r>
      </w:hyperlink>
      <w:r>
        <w:rPr>
          <w:color w:val="000000"/>
        </w:rPr>
        <w:t xml:space="preserve"> </w:t>
      </w:r>
      <w:r>
        <w:rPr>
          <w:rFonts w:ascii="Times New Roman;serif" w:hAnsi="Times New Roman;serif"/>
          <w:b w:val="false"/>
          <w:color w:val="000000"/>
          <w:sz w:val="20"/>
        </w:rPr>
        <w:t xml:space="preserve">and </w:t>
      </w:r>
      <w:hyperlink w:anchor="ic1a494480e6146a1a6acab9187fe13be_181">
        <w:r>
          <w:rPr>
            <w:rStyle w:val="InternetLink"/>
            <w:rFonts w:ascii="Times New Roman;serif" w:hAnsi="Times New Roman;serif"/>
            <w:b w:val="false"/>
            <w:color w:val="0000FF"/>
            <w:sz w:val="20"/>
            <w:u w:val="single"/>
          </w:rPr>
          <w:t>Note 11, “Leases.”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concluded that certain components contained within the Pinnacle Master Lease and the Morgantown Lease (both as defined in </w:t>
      </w:r>
      <w:hyperlink w:anchor="ic1a494480e6146a1a6acab9187fe13be_181">
        <w:r>
          <w:rPr>
            <w:rStyle w:val="InternetLink"/>
            <w:rFonts w:ascii="Times New Roman;serif" w:hAnsi="Times New Roman;serif"/>
            <w:b w:val="false"/>
            <w:color w:val="0000FF"/>
            <w:sz w:val="20"/>
            <w:u w:val="single"/>
          </w:rPr>
          <w:t>Note 11, “Leases”</w:t>
        </w:r>
      </w:hyperlink>
      <w:r>
        <w:rPr>
          <w:rFonts w:ascii="Times New Roman;serif" w:hAnsi="Times New Roman;serif"/>
          <w:b w:val="false"/>
          <w:color w:val="000000"/>
          <w:sz w:val="20"/>
        </w:rPr>
        <w:t xml:space="preserve">) are required to be accounted for as financing obligations on the Consolidated Balance Sheets in accordance with ASC 842, as control of the underlying assets were not considered to have transferred from the Company. </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Operating and Finance Leases: </w:t>
      </w:r>
      <w:r>
        <w:rPr>
          <w:rFonts w:ascii="Times New Roman;serif" w:hAnsi="Times New Roman;serif"/>
          <w:b w:val="false"/>
          <w:color w:val="000000"/>
          <w:sz w:val="20"/>
        </w:rPr>
        <w:t>The Company determines if a contract is or contains a leasing element at contract inception or the date in which a modification of an existing contract occurs. In order for a contract to be considered a lease, the contract must transfer the right to control the use of an identified asset for a period of time in exchange for consideration. Control is determined to have occurred if the lessee has the right to (i) obtain substantially all of the economic benefits from the use of the identified asset throughout the period of use and (ii) direct the use of the identified asset.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ASC 842, we elected the following policies: (i) to account for lease and non-lease components as a single component for all classes of underlying assets and (ii) to not recognize short-term leases (i.e., leases that are less than 12 months and do not contain purchase options) within the Consolidated Balance Sheets, with the expense related to these short-term leases recorded in total operating expenses within the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leasing arrangements that contain both lease and non-lease components. We account for both the lease and non-lease components as a single component for all classes of underlying assets. In determining the present value of lease payments at lease commencement date, the Company utilizes its incremental borrowing rate based on the information available, unless the rate implicit in the lease is readily determinable. The liability for operating and finance leases is based on the present value of future lease payments. Operating lease expenses are primarily recorded as rent expense, which are included within “General and administrative” within the Consolidated Statements of Operations and presented as operating cash outflows within the Consolidated Statements of Cash Flows. Finance lease expenses are recorded as depreciation expense, which is included within “Depreciation and amortization” and “Interest expense, net” within the Consolidated Statements of Operations over the lease term. Principal payments associated with finance leases are presented as financing cash outflows and interest payments associated with finance leases are presented as operating cash outflows within the Consolidated Statements of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ROU assets are monitored for potential impairment similar to the Company’s property and equipment, using the impairment model in ASC 360, “Property, Plant and Equipment.” If the Company determines the carrying amount of a ROU asset is not recoverable, it would recognize an impairment charge equivalent to the amount required to reduce the carrying value of the asset to its estimated fair value. </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Debt Discount and Debt Issuance Costs: </w:t>
      </w:r>
      <w:r>
        <w:rPr>
          <w:rFonts w:ascii="Times New Roman;serif" w:hAnsi="Times New Roman;serif"/>
          <w:b w:val="false"/>
          <w:color w:val="000000"/>
          <w:sz w:val="20"/>
        </w:rPr>
        <w:t>Debt issuance costs that are incurred by the Company in connection with the issuance of debt are deferred and amortized to interest expense using the effective interest method over the contractual term of the underlying indebtedness. These costs are classified as a direct reduction of long-term debt within the Company’s Consolidated Balance Sheets.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Self-Insurance Reserves: </w:t>
      </w:r>
      <w:r>
        <w:rPr>
          <w:rFonts w:ascii="Times New Roman;serif" w:hAnsi="Times New Roman;serif"/>
          <w:b w:val="false"/>
          <w:color w:val="000000"/>
          <w:sz w:val="20"/>
        </w:rPr>
        <w:t>The Company is self-insured for employee health coverage, general liability and workers’ compensation up to certain stop-loss amounts (for general liability and workers’ compensation). We use a reserve method for each reported claim plus an allowance for claims incurred but not yet reported to a fully-developed claims reserve method based on an actuarial computation of ultimate liability. Self-insurance reserves are included in “Accrued expenses and other current liabilities” within the Company’s Consolidated Balance Sheets.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Under ASC 740, “Income Taxes”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more-likely-than-not (a greater than 50% probability) that some portion or all of the deferred tax assets will not be realized.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realizability of the net deferred tax assets is evaluated quarterly by assessing the valuation allowance and by adjusting the amount of the allowance, if necessary. The Company considers all available positive and negative evidence including projected future taxable income and available tax planning strategies that could be implemented to realize the net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evaluation of both positive and negative evidence is a requirement pursuant to ASC 740 in determining more-likely-than-not the net deferred tax assets will be realized. In the event the Company determines that the deferred tax assets would be realized in the future in excess of their net recorded amount, an adjustment to the valuation allowance would be recorded, which would reduce the provision for income taxes.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See </w:t>
      </w:r>
      <w:hyperlink w:anchor="ic1a494480e6146a1a6acab9187fe13be_190">
        <w:r>
          <w:rPr>
            <w:rStyle w:val="InternetLink"/>
            <w:rFonts w:ascii="Times New Roman;serif" w:hAnsi="Times New Roman;serif"/>
            <w:b w:val="false"/>
            <w:color w:val="0000FF"/>
            <w:sz w:val="20"/>
            <w:u w:val="single"/>
          </w:rPr>
          <w:t>Note 13, “Income Taxes.”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Our revenue from contracts with customers consists primarily of gaming wagers, inclusive of sports betting and iCasino products, food and beverage transactions, hotel room sales, retail transactions, racing wagers, and third-party revenue sharing agreements. See </w:t>
      </w:r>
      <w:hyperlink w:anchor="ic1a494480e6146a1a6acab9187fe13be_157">
        <w:r>
          <w:rPr>
            <w:rStyle w:val="InternetLink"/>
            <w:rFonts w:ascii="Times New Roman;serif" w:hAnsi="Times New Roman;serif"/>
            <w:b w:val="false"/>
            <w:color w:val="0000FF"/>
            <w:sz w:val="20"/>
            <w:u w:val="single"/>
          </w:rPr>
          <w:t>Note 4, “Revenue Disaggregation”</w:t>
        </w:r>
      </w:hyperlink>
      <w:r>
        <w:rPr>
          <w:color w:val="000000"/>
        </w:rPr>
        <w:t xml:space="preserve"> </w:t>
      </w:r>
      <w:r>
        <w:rPr>
          <w:rFonts w:ascii="Times New Roman;serif" w:hAnsi="Times New Roman;serif"/>
          <w:b w:val="false"/>
          <w:color w:val="000000"/>
          <w:sz w:val="20"/>
        </w:rPr>
        <w:t>for information on our revenue by type and geographic location.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transaction price for a gaming wagering contract is the difference between gaming wins and losses, not the total amount wagered. The transaction price for food and beverage, hotel, and retail contracts is the net amount collected from the customer for such goods and services. Sales tax and other taxes collected on behalf of governmental authorities are accounted for on the net basis and are not included in revenues or expenses. The transaction price for our racing operations, inclusive of live racing events conducted at our racing facilities and our import and export arrangements, is the commission received from the pari-mutuel pool less contractual fees and obligations primarily consisting of purse funding requirements, simulcasting fees, tote fees and certain pari-mutuel taxes that are directly related to the racing operations. The transaction price for our management service contracts is the amount collected for services rendered in accordance with the contractual terms.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Gaming revenue contracts involve two performance obligations for those customers earning points under our PENN Play program and a single performance obligation for customers that do not participate in the PENN Play program. The Company applies a practical expedient by accounting for its gaming contracts on a portfolio basis as opposed to an individual wagering contract. For purposes of allocating the transaction price in a gaming contract between the wagering performance obligation and the obligation associated with the loyalty points earned, we allocate an amount to the loyalty point contract liability based on the standalone selling price (“SSP”) of the points earned, which is determined by the value of a point that can be redeemed for slot play and complimentaries such as, food and beverage at our restaurants, Choice Privileges points, Ticketmaster tickets, lodging at our hotels, and products offered at our PENN Play mall and retail stores, less estimated breakage. The allocated revenue for gaming wagers is recognized at the conclusion of each wager or wagering game session. The liability associated with the loyalty points is deferred and recognized as revenue when the customer redeems the loyalty points for slot play and complimentaries and such goods and services are delivered to the customer.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Food and beverage, hotel, and retail services have been determined to be separate, standalone performance obligations and the transaction price for such contracts is recorded as revenue as the good or service is transferred to the customer over their stay at the hotel or when the delivery is made for the food and beverage or retail product. Cancellation fees for hotel and meeting space services are recognized upon cancellation by the customer and are included in food, beverage, hotel, and other revenue within our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Racing revenue contracts, inclusive of our (i) host racing facilities, (ii) import arrangements that permit us to simulcast in live racing events occurring at other racetracks, and (iii) export arrangements that permit our live racing events to be simulcast at other racetracks, provide access to and the processing of wagers into the pari-mutuel pool. The Company has concluded it is not the controlling entity to the arrangement, but rather functions as an agent to the pari-mutuel pool. Commissions earned from the pari-mutuel pool less contractual fees and obligations are recognized on a net basis, which is included within food, beverage, hotel, and other revenues within our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services have been determined to be separate, standalone performance obligations and the transaction price for such contracts are recorded as services are performed. The Company records revenues on a monthly basis calculated by applying the contractual rate called for in the contracts.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sports betting and iCasino revenues, PENN Interactive generates in-app purchase and advertising revenues from free-to-play social casino games, which can be downloaded to mobile phones and tablets from digital storefronts. Players can purchase virtual playing credits within our social casino games, which allows for increased playing opportunities and functionality. PENN Interactive records deferred revenue from the sale of virtual playing credits and recognizes this revenue over the average redemption period of the credits, which is generally one day. Advertising revenues are recognized in the period when the advertising impression, click, or install delivery occurs.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PENN Interactive generates revenues from advertising on theScore media app. Advertising revenue is recorded at the time of fulfilling the performance obligations relating to the display of customers’ advertisements on theScore media app.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PENN Interactive also enters into multi-year agreements with sports betting operators for OSB and iCasino market access (“Skins”) across our portfolio, of which the Company generally receives upfront (i) cash or (ii) cash and equity securities. Additionally, in consideration for the use of each Skin, the Company receives a monthly revenue share amount of the revenues earned by the operators less contractual fees and obligations primarily consisting of taxes, promotional credits, data fees and player costs.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access provided to operators by jurisdiction and by activity represent separate performance obligations. The transaction price includes fixed fees for access to certain geographic markets and variable consideration in the form of a monthly revenue share, annual minimum guarantee amounts, and reimbursements for out-of-pocket expenses including jurisdictional gaming taxes. The upfront and fixed access fees relate solely to distinct markets and are allocated to the performance obligations specific to those markets. Market access fees are recognized as revenue over the term of the related market access agreement which commences upon the online launch of the activity by the third-party operator. Monthly revenue share and annual minimum guarantee variable consideration relate directly to the Company’s efforts to satisfy each individual performance obligation and, as such, is allocated to each performance obligation. Revenues from monthly revenue shares are recognized in the period in which the revenue was earned by our third-party operators. Minimum guarantee revenue is deferred at the end of the period in which it relates and subsequently recognized as revenue over the remaining term of the market access agreement. The Company also recognizes revenue for reimbursements of certain out-of-pocket expenses, including license fees and jurisdictional gaming taxes. The Company has elected the “right to invoice” practical expedient and recognizes revenue upon incurring reimbursable costs, as appropriate.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Complimentaries Associated with Gaming Contracts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 services furnished to patrons for free as an inducement to gamble at our retail properties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tbl>
      <w:tblPr>
        <w:tblW w:w="8186" w:type="dxa"/>
        <w:jc w:val="left"/>
        <w:tblInd w:w="0" w:type="dxa"/>
        <w:tblLayout w:type="fixed"/>
        <w:tblCellMar>
          <w:top w:w="28" w:type="dxa"/>
          <w:left w:w="28" w:type="dxa"/>
          <w:bottom w:w="28" w:type="dxa"/>
          <w:right w:w="28" w:type="dxa"/>
        </w:tblCellMar>
      </w:tblPr>
      <w:tblGrid>
        <w:gridCol w:w="1696"/>
        <w:gridCol w:w="1490"/>
        <w:gridCol w:w="1493"/>
        <w:gridCol w:w="211"/>
        <w:gridCol w:w="616"/>
        <w:gridCol w:w="109"/>
        <w:gridCol w:w="109"/>
        <w:gridCol w:w="109"/>
        <w:gridCol w:w="109"/>
        <w:gridCol w:w="211"/>
        <w:gridCol w:w="616"/>
        <w:gridCol w:w="109"/>
        <w:gridCol w:w="109"/>
        <w:gridCol w:w="109"/>
        <w:gridCol w:w="109"/>
        <w:gridCol w:w="211"/>
        <w:gridCol w:w="61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complimentaries associated with gaming contracts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provides discretionary complimentaries in the form of iCasino and OSB free play bonuses. Free play bonuses provided to patrons as an inducement to gamble on the Company’s digital sports betting and iCasino apps are recorded as a reduction of “Gaming” revenues.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Customer-related Liabilities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three general types of liabilities related to contracts with customers: (i) the obligation associated with its PENN Play program (loyalty points and tier status benefits), (ii) advance payments on goods and services yet to be provided and for unpaid wagers, and (iii) deferred revenue associated with third-party OSB and/or iCasino for OSB and iCasino market access.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Our PENN Play</w:t>
      </w:r>
      <w:r>
        <w:rPr>
          <w:color w:val="000000"/>
        </w:rPr>
        <w:t xml:space="preserve"> </w:t>
      </w:r>
      <w:r>
        <w:rPr>
          <w:rFonts w:ascii="Times New Roman;serif" w:hAnsi="Times New Roman;serif"/>
          <w:b w:val="false"/>
          <w:color w:val="000000"/>
          <w:sz w:val="20"/>
        </w:rPr>
        <w:t xml:space="preserve">program connects the Company’s brands under one loyalty program and allows members to earn loyalty points, or “PENN Cash,” redeemable for slot play and complimentaries, such as food and beverage at our restaurants, lodging at our hotels, redemptions at the PENN Play marketplace that features popular retailers, and products offered at our retail stores across the vast majority of our properties. In addition, members of the PENN Play program earn credit toward tier status, which entitles them to receive certain other benefits, such as priority access, discounts, gifts, trips to PENN destinations, partner experiences, and PENN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obligation associated with our PENN Play program, which is included in “Accrued expenses and other current liabilities” within our Consolidated Balance Sheets, was $29.8 million and $29.7 million as of December 31, 2025 and 2024, respectively, and consisted primarily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(iv) money deposited in an online wallet for pending and concluded wagers not yet withdrawn; (v) outstanding tickets generated by slot machine play, sports betting, or pari-mutuel wagering; (vi) outstanding chip liabilities; (vii) unclaimed jackpots; and (viii) gift cards redeemable at our properties. Unpaid wagers generally represent obligations stemming from prior wagering events, of which revenue was previously recognized. The Company’s advance payments on goods and services yet to be provided and for unpaid wagers were $133.7 million and $151.4 million as of December 31, 2025 and 2024, respectively, and are included in “Accrued expenses and other current liabilities” within our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deferred revenue is primarily related to PENN Interactive, which enters into multi-year agreements with third-party OSB and/or iCasino operators for OSB and iCasino market access across our portfolio of properties.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our deferred revenue balance was $34.1 million and $42.6 million, respectively, the majority of which is included in “Other long-term liabilities” within our Consolidated Balance Sheets. During the years ended December 31, 2025, 2024, and 2023 we recognized revenue of $9.6 million, $5.7 million, and $21.6 million, respectively, that was included in the December 31, 2024, 2023, and 2022 deferred revenue balances.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Advertising: </w:t>
      </w:r>
      <w:r>
        <w:rPr>
          <w:rFonts w:ascii="Times New Roman;serif" w:hAnsi="Times New Roman;serif"/>
          <w:b w:val="false"/>
          <w:color w:val="000000"/>
          <w:sz w:val="20"/>
        </w:rPr>
        <w:t xml:space="preserve">The Company expenses advertising costs the first time the advertising takes place or as incurred. Advertising expenses, which generally relate to media placement costs and are primarily included in “Gaming” expenses within the Consolidated Statements of Operations, were $358.1 million, $456.4 million, and $173.3 million, for the years ended December 31, 2025, 2024, and 2023, respectively. Advertising expense includes media marketing services and brand and other rights previously provided by ESPN, Inc. and ESPN Enterprises Inc. (together, “ESPN”) pursuant to the Sportsbook Agreement (as defined in </w:t>
      </w:r>
      <w:hyperlink w:anchor="ic1a494480e6146a1a6acab9187fe13be_187">
        <w:r>
          <w:rPr>
            <w:rStyle w:val="InternetLink"/>
            <w:rFonts w:ascii="Times New Roman;serif" w:hAnsi="Times New Roman;serif"/>
            <w:b w:val="false"/>
            <w:color w:val="0000FF"/>
            <w:sz w:val="20"/>
            <w:u w:val="single"/>
          </w:rPr>
          <w:t>Note 12, “Commitments and Contingencies”</w:t>
        </w:r>
      </w:hyperlink>
      <w:r>
        <w:rPr>
          <w:rFonts w:ascii="Times New Roman;serif" w:hAnsi="Times New Roman;serif"/>
          <w:b w:val="false"/>
          <w:color w:val="000000"/>
          <w:sz w:val="20"/>
        </w:rPr>
        <w:t>) which was terminated on November 5, 2025, and other media placement costs.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and Pari-mutuel Taxes: </w:t>
      </w:r>
      <w:r>
        <w:rPr>
          <w:rFonts w:ascii="Times New Roman;serif" w:hAnsi="Times New Roman;serif"/>
          <w:b w:val="false"/>
          <w:color w:val="000000"/>
          <w:sz w:val="20"/>
        </w:rPr>
        <w:t>We are subject to gaming and pari-mutuel taxes based on gross gaming revenue and pari-mutuel revenue in the jurisdictions in which we operate, as well as taxes on revenues derived from arrangements which allow for third-party OSB and/or iCasino partners to operate online sportsbooks and iCasinos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Consolidated Statements of Operations, and were $2.6 billion, $2.3 billion, and $2.3 billion for the years ended December 31, 2025, 2024, and 2023, respectively.</w:t>
      </w:r>
    </w:p>
    <w:p>
      <w:pPr>
        <w:pStyle w:val="TextBody"/>
        <w:bidi w:val="0"/>
        <w:spacing w:lineRule="auto" w:line="288" w:before="0" w:after="200"/>
        <w:ind w:left="0" w:right="0" w:firstLine="360"/>
        <w:jc w:val="left"/>
        <w:rPr/>
      </w:pPr>
      <w:r>
        <w:rPr>
          <w:rFonts w:ascii="Times New Roman;serif" w:hAnsi="Times New Roman;serif"/>
          <w:b/>
          <w:i/>
          <w:color w:val="000000"/>
          <w:sz w:val="20"/>
        </w:rPr>
        <w:t>Foreign Currency Translation:</w:t>
      </w:r>
      <w:r>
        <w:rPr>
          <w:color w:val="000000"/>
        </w:rPr>
        <w:t xml:space="preserve"> </w:t>
      </w:r>
      <w:r>
        <w:rPr>
          <w:rFonts w:ascii="Times New Roman;serif" w:hAnsi="Times New Roman;serif"/>
          <w:b w:val="false"/>
          <w:color w:val="000000"/>
          <w:sz w:val="20"/>
        </w:rPr>
        <w:t>The functional currency of the Company’s foreign subsidiaries is the local currency in which the subsidiary operates. Balance sheet accounts are translated at the exchange rate in effect at each balance sheet date. Translation adjustments resulting from this process are recorded to other comprehensive income or loss. Revenues and expenses are typically translated at the average exchange rates during the year. Gains or losses resulting from foreign currency transactions are included in “Other” within the Consolidated Statements of Operations.</w:t>
      </w:r>
    </w:p>
    <w:p>
      <w:pPr>
        <w:pStyle w:val="TextBody"/>
        <w:bidi w:val="0"/>
        <w:spacing w:lineRule="auto" w:line="288" w:before="0" w:after="200"/>
        <w:ind w:left="0" w:right="0" w:firstLine="360"/>
        <w:jc w:val="left"/>
        <w:rPr/>
      </w:pPr>
      <w:r>
        <w:rPr>
          <w:rFonts w:ascii="Times New Roman;serif" w:hAnsi="Times New Roman;serif"/>
          <w:b/>
          <w:i/>
          <w:color w:val="000000"/>
          <w:sz w:val="20"/>
        </w:rPr>
        <w:t>Comprehensive Income or Loss and Accumulated Other Comprehensive Income or Loss:</w:t>
      </w:r>
      <w:r>
        <w:rPr>
          <w:color w:val="000000"/>
        </w:rPr>
        <w:t xml:space="preserve"> </w:t>
      </w:r>
      <w:r>
        <w:rPr>
          <w:rFonts w:ascii="Times New Roman;serif" w:hAnsi="Times New Roman;serif"/>
          <w:b w:val="false"/>
          <w:color w:val="000000"/>
          <w:sz w:val="20"/>
        </w:rPr>
        <w:t>Comprehensive income or loss includes net income or loss and all other non-stockholder changes in equity, or other comprehensive income or loss. The balance of accumulated other comprehensive income or loss consists of foreign currency translation adjustments and unrealized gains or losses on debt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Stock-Based Compensation: </w:t>
      </w:r>
      <w:r>
        <w:rPr>
          <w:rFonts w:ascii="Times New Roman;serif" w:hAnsi="Times New Roman;serif"/>
          <w:b w:val="false"/>
          <w:color w:val="000000"/>
          <w:sz w:val="20"/>
        </w:rPr>
        <w:t xml:space="preserve">The cost of employee services received in exchange for an award of equity instruments is based on the grant-date fair value of the award and the expense is recognized ratably over the requisite service period. The Company accounts for forfeitures in the period in which they occur based on actual amounts. The fair value of stock options is estimated at the grant date using the Black-Scholes option-pricing model, which requires us to make assumptions, including the expected term, which is based on the contractual term of the stock option and historical exercise data of the Company’s employees; the risk-free interest rate, which is based on the U.S. Treasury spot rate with a term equal to the expected term assumed at the grant date; the expected volatility, which is estimated based on the historical volatility of the Company’s stock price over the expected term assumed at the grant date; and the expected dividend yield, which is zero since we have not historically paid dividends. See </w:t>
      </w:r>
      <w:hyperlink w:anchor="ic1a494480e6146a1a6acab9187fe13be_199">
        <w:r>
          <w:rPr>
            <w:rStyle w:val="InternetLink"/>
            <w:rFonts w:ascii="Times New Roman;serif" w:hAnsi="Times New Roman;serif"/>
            <w:b w:val="false"/>
            <w:color w:val="0000FF"/>
            <w:sz w:val="20"/>
            <w:u w:val="single"/>
          </w:rPr>
          <w:t>Note 15, “Stock-based Compensation.”</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Earnings or Loss Per Share: </w:t>
      </w:r>
      <w:r>
        <w:rPr>
          <w:rFonts w:ascii="Times New Roman;serif" w:hAnsi="Times New Roman;serif"/>
          <w:b w:val="false"/>
          <w:color w:val="000000"/>
          <w:sz w:val="20"/>
        </w:rPr>
        <w:t>Basic earnings or loss per share (“EPS”) is computed by dividing net income or loss applicable to common stock by the weighted-average number of common shares outstanding during the period. Diluted EPS reflects the additional dilution, if any, for all potentially-dilutive securities such as warrants, stock options, unvested restricted stock awards (“RSAs”) and restricted stock units (“RSUs”) (collectively with RSAs, “restricted stock”), outstanding convertible preferred stock, and convertible debt.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Holders of the Company’s Series D Preferred Stock (as defined in </w:t>
      </w:r>
      <w:hyperlink w:anchor="ic1a494480e6146a1a6acab9187fe13be_163">
        <w:r>
          <w:rPr>
            <w:rStyle w:val="InternetLink"/>
            <w:rFonts w:ascii="Times New Roman;serif" w:hAnsi="Times New Roman;serif"/>
            <w:b w:val="false"/>
            <w:color w:val="0000FF"/>
            <w:sz w:val="20"/>
            <w:u w:val="single"/>
          </w:rPr>
          <w:t>Note 6, “Investments in and Advances to Unconsolidated Affiliates”</w:t>
        </w:r>
      </w:hyperlink>
      <w:r>
        <w:rPr>
          <w:rFonts w:ascii="Times New Roman;serif" w:hAnsi="Times New Roman;serif"/>
          <w:b w:val="false"/>
          <w:color w:val="000000"/>
          <w:sz w:val="20"/>
        </w:rPr>
        <w:t xml:space="preserve">) were entitled to participate equally and ratably in all dividends and distributions paid to holders of PENN common stock irrespective of any vesting requirement. Accordingly, the Series D Preferred Stock shares were considered a participating security, and the Company was required to apply the two-class method to consider the impact of the preferred shares on the calculation of basic and diluted EPS. The previous holders of the Company’s Series D Preferred Stock were not obligated to absorb losses; therefore, in reporting periods where the Company was in a net loss position, it did not apply the two-class method. In reporting periods where the Company was in a net income position, the two-class method was applied by allocating all earnings during the period to common shares and preferred shares. See </w:t>
      </w:r>
      <w:hyperlink w:anchor="ic1a494480e6146a1a6acab9187fe13be_202">
        <w:r>
          <w:rPr>
            <w:rStyle w:val="InternetLink"/>
            <w:rFonts w:ascii="Times New Roman;serif" w:hAnsi="Times New Roman;serif"/>
            <w:b w:val="false"/>
            <w:color w:val="0000FF"/>
            <w:sz w:val="20"/>
            <w:u w:val="single"/>
          </w:rPr>
          <w:t>Note 16, “Loss per Share”</w:t>
        </w:r>
      </w:hyperlink>
      <w:r>
        <w:rPr>
          <w:color w:val="000000"/>
        </w:rPr>
        <w:t xml:space="preserve"> </w:t>
      </w:r>
      <w:r>
        <w:rPr>
          <w:rFonts w:ascii="Times New Roman;serif" w:hAnsi="Times New Roman;serif"/>
          <w:b w:val="false"/>
          <w:color w:val="000000"/>
          <w:sz w:val="20"/>
        </w:rPr>
        <w:t xml:space="preserve">for more information. As discussed in </w:t>
      </w:r>
      <w:hyperlink w:anchor="ic1a494480e6146a1a6acab9187fe13be_193">
        <w:r>
          <w:rPr>
            <w:rStyle w:val="InternetLink"/>
            <w:rFonts w:ascii="Times New Roman;serif" w:hAnsi="Times New Roman;serif"/>
            <w:b w:val="false"/>
            <w:color w:val="0000FF"/>
            <w:sz w:val="20"/>
            <w:u w:val="single"/>
          </w:rPr>
          <w:t>Note 14, “Stockholders’ Equity,”</w:t>
        </w:r>
      </w:hyperlink>
      <w:r>
        <w:rPr>
          <w:color w:val="000000"/>
        </w:rPr>
        <w:t xml:space="preserve"> </w:t>
      </w:r>
      <w:r>
        <w:rPr>
          <w:rFonts w:ascii="Times New Roman;serif" w:hAnsi="Times New Roman;serif"/>
          <w:b w:val="false"/>
          <w:color w:val="000000"/>
          <w:sz w:val="20"/>
        </w:rPr>
        <w:t xml:space="preserve">all remaining outstanding shares of Series D Preferred Stock were converted to common stock during the third quarter of 2023. There were no outstanding shares of Series D Preferred Stock as of December 31, 2025. </w:t>
      </w:r>
    </w:p>
    <w:p>
      <w:pPr>
        <w:pStyle w:val="TextBody"/>
        <w:bidi w:val="0"/>
        <w:spacing w:lineRule="auto" w:line="288" w:before="0" w:after="200"/>
        <w:ind w:left="0" w:right="0" w:firstLine="360"/>
        <w:jc w:val="left"/>
        <w:rPr/>
      </w:pPr>
      <w:r>
        <w:rPr>
          <w:rFonts w:ascii="Times New Roman;serif" w:hAnsi="Times New Roman;serif"/>
          <w:b/>
          <w:i/>
          <w:color w:val="000000"/>
          <w:sz w:val="20"/>
        </w:rPr>
        <w:t>Guarantees and Indemnifications:</w:t>
      </w:r>
      <w:r>
        <w:rPr>
          <w:color w:val="000000"/>
        </w:rPr>
        <w:t xml:space="preserve"> </w:t>
      </w:r>
      <w:r>
        <w:rPr>
          <w:rFonts w:ascii="Times New Roman;serif" w:hAnsi="Times New Roman;serif"/>
          <w:b w:val="false"/>
          <w:color w:val="000000"/>
          <w:sz w:val="20"/>
        </w:rPr>
        <w:t xml:space="preserve">The Company accounts for indemnity obligations in accordance with ASC Topic 460-20, “Contingencies” and records a liability at fair value. On August 8, 2023, we entered into a stock purchase agreement with David Portnoy (the “Barstool SPA”) and we sold 100% of the outstanding shares of Barstool Sports, Inc. (“Barstool” or “Barstool Sports”) common stock. Pursuant to the Barstool SPA, the Company agreed to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Claims under the indemnification are paid upon demand. Provisions in the Barstool SPA limit the time within which an indemnification claim can be made to the later of the resolution of the indemnification claim or the relevant statutes of limitations. In the second quarter of 2024, the Company paid $30.5 million in settlement costs under this indemnification obligation. The maximum potential amount of future payments the Company could be required to make under this indemnification agreement is not estimable at this time due to uncertainties related to potential outcomes and other unique facts and circumstances involved in the Barstool SPA. For both periods ended as of December 31, 2025 and 2024, the Company has recorded a liability of $39.5 million for this agreement. Liabilities associated with the indemnification are recorded in “Other long-term liabilities” within the Consolidated Balance Sheets. See </w:t>
      </w:r>
      <w:hyperlink w:anchor="ic1a494480e6146a1a6acab9187fe13be_160">
        <w:r>
          <w:rPr>
            <w:rStyle w:val="InternetLink"/>
            <w:rFonts w:ascii="Times New Roman;serif" w:hAnsi="Times New Roman;serif"/>
            <w:b w:val="false"/>
            <w:color w:val="0000FF"/>
            <w:sz w:val="20"/>
            <w:u w:val="single"/>
          </w:rPr>
          <w:t>Note 5, “Acquisitions and Dispositions”</w:t>
        </w:r>
      </w:hyperlink>
      <w:r>
        <w:rPr>
          <w:rFonts w:ascii="Times New Roman;serif" w:hAnsi="Times New Roman;serif"/>
          <w:b w:val="false"/>
          <w:color w:val="000000"/>
          <w:sz w:val="20"/>
        </w:rPr>
        <w:t>.</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Application of Business Combination Accounting: </w:t>
      </w:r>
      <w:r>
        <w:rPr>
          <w:rFonts w:ascii="Times New Roman;serif" w:hAnsi="Times New Roman;serif"/>
          <w:b w:val="false"/>
          <w:color w:val="000000"/>
          <w:sz w:val="20"/>
        </w:rPr>
        <w:t xml:space="preserve">We utilize the acquisition method of accounting in accordance with ASC 805, “Business Combinations,” (“ASC 805”) which requires us to allocate the purchase price to tangible and identifiable intangible assets based on their fair values. The excess of the purchase price over the fair value ascribed to tangible and identifiable intangible assets is recorded as goodwill. If the fair value ascribed to tangible and identifiable intangible assets changes during the measurement period (due to additional information being available and related Company analysis), the measurement period adjustment is recognized in the reporting period in which the adjustment amount is determined and offset against goodwill. The measurement period for our acquisitions is no more than one year in duration. See </w:t>
      </w:r>
      <w:hyperlink w:anchor="ic1a494480e6146a1a6acab9187fe13be_160">
        <w:r>
          <w:rPr>
            <w:rStyle w:val="InternetLink"/>
            <w:rFonts w:ascii="Times New Roman;serif" w:hAnsi="Times New Roman;serif"/>
            <w:b w:val="false"/>
            <w:color w:val="0000FF"/>
            <w:sz w:val="20"/>
            <w:u w:val="single"/>
          </w:rPr>
          <w:t>Note 5, “Acquisitions and Dispositions.”</w:t>
        </w:r>
      </w:hyperlink>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Voting Interest Entities and Variable Interest Entities: </w:t>
      </w:r>
      <w:r>
        <w:rPr>
          <w:rFonts w:ascii="Times New Roman;serif" w:hAnsi="Times New Roman;serif"/>
          <w:b w:val="false"/>
          <w:color w:val="000000"/>
          <w:sz w:val="20"/>
        </w:rPr>
        <w:t>The Company consolidates all subsidiaries or other entities in which it has a controlling financial interest. The consolidation guidance requires an analysis to determine if an entity should be evaluated for consolidation using the VOE model or the VIE model. Under the VOE model, controlling financial interest is generally defined as a majority ownership of voting rights. Under the VIE model, controlling financial interest is defined as (i) the power to direct activities that most significantly impact the economic performance of the entity and (ii) the obligation to absorb losses of, or the right to receive benefits from, the entity that could potentially be significant to the entity.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those entities that qualify as a VIE, the primary beneficiary is generally defined as the party who has a controlling financial interest in the VIE. The Company consolidates the financial position and results of operations of every VOE in which it has a controlling financial interest and VIEs in which it is considered to be the primary beneficiary. See </w:t>
      </w:r>
      <w:hyperlink w:anchor="ic1a494480e6146a1a6acab9187fe13be_163">
        <w:r>
          <w:rPr>
            <w:rStyle w:val="InternetLink"/>
            <w:rFonts w:ascii="Times New Roman;serif" w:hAnsi="Times New Roman;serif"/>
            <w:b w:val="false"/>
            <w:color w:val="0000FF"/>
            <w:sz w:val="20"/>
            <w:u w:val="single"/>
          </w:rPr>
          <w:t>Note 6, “Investments in and Advances to Unconsolidated Affiliates.”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3—New Accounting Pronouncements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Adopted</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In December 2023, the FASB issued ASU 2023-09, “Income Taxes (Topic 740): Improvements to Income Tax Disclosures” (“ASU 2023-09”). ASU 2023-09 updates the requirements for a public entity to enhance income tax disclosures to provide a better assessment on how an entity’s operations, related tax risks, tax planning, and operational opportunities affect its tax rate and prospects for future cash flows. ASU 2023-09 is effective for fiscal years beginning after December 15, 2024, and was adopted on a prospective basis. The adoption of ASU 2023-09 resulted in additional disclosures in the notes to the Consolidated Financial Statements. See </w:t>
      </w:r>
      <w:hyperlink w:anchor="ic1a494480e6146a1a6acab9187fe13be_190">
        <w:r>
          <w:rPr>
            <w:rStyle w:val="InternetLink"/>
            <w:rFonts w:ascii="Times New Roman;serif" w:hAnsi="Times New Roman;serif"/>
            <w:b w:val="false"/>
            <w:color w:val="000080"/>
            <w:sz w:val="20"/>
            <w:u w:val="single"/>
          </w:rPr>
          <w:t>Note 13</w:t>
        </w:r>
      </w:hyperlink>
      <w:hyperlink w:anchor="ic1a494480e6146a1a6acab9187fe13be_190">
        <w:r>
          <w:rPr>
            <w:rStyle w:val="InternetLink"/>
            <w:rFonts w:ascii="Times New Roman;serif" w:hAnsi="Times New Roman;serif"/>
            <w:b w:val="false"/>
            <w:color w:val="000080"/>
            <w:sz w:val="20"/>
            <w:u w:val="single"/>
          </w:rPr>
          <w:t xml:space="preserve">, </w:t>
        </w:r>
      </w:hyperlink>
      <w:hyperlink w:anchor="ic1a494480e6146a1a6acab9187fe13be_190">
        <w:r>
          <w:rPr>
            <w:rStyle w:val="InternetLink"/>
            <w:rFonts w:ascii="Times New Roman;serif" w:hAnsi="Times New Roman;serif"/>
            <w:b w:val="false"/>
            <w:color w:val="000080"/>
            <w:sz w:val="20"/>
            <w:u w:val="single"/>
          </w:rPr>
          <w:t>“</w:t>
        </w:r>
      </w:hyperlink>
      <w:hyperlink w:anchor="ic1a494480e6146a1a6acab9187fe13be_190">
        <w:r>
          <w:rPr>
            <w:rStyle w:val="InternetLink"/>
            <w:rFonts w:ascii="Times New Roman;serif" w:hAnsi="Times New Roman;serif"/>
            <w:b w:val="false"/>
            <w:color w:val="000080"/>
            <w:sz w:val="20"/>
            <w:u w:val="single"/>
          </w:rPr>
          <w:t>Income Taxes.</w:t>
        </w:r>
      </w:hyperlink>
      <w:hyperlink w:anchor="ic1a494480e6146a1a6acab9187fe13be_190">
        <w:r>
          <w:rPr>
            <w:rStyle w:val="InternetLink"/>
            <w:rFonts w:ascii="Times New Roman;serif" w:hAnsi="Times New Roman;serif"/>
            <w:b w:val="false"/>
            <w:color w:val="000080"/>
            <w:sz w:val="20"/>
            <w:u w:val="single"/>
          </w:rPr>
          <w:t>”</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to be Implemented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updates the requirements for a public entity to disclose additional information about specific income statement expense categories in the notes to financial statements. ASU 2024-03 does not change or remove current expense disclosure requirements, however, it affects where this information appears in the notes to financial statements. ASU 2024-03 is effective for fiscal years beginning after December 15, 2026, and interim periods within fiscal years beginning after December 15, 2027, on a prospective or retrospective basis, with early adoption permitted. We are assessing the guidance and currently expect adoption of the new standard to result in additional disclosures in the notes to the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“Debt—Debt with Conversion and Other Options (Subtopic 470-20): Induced Conversions of Convertible Debt Instruments” (“ASU 2024-04”). ASU 2024-04 clarifies the determination of accounting treatment required for settlement of convertible debt (particularly, cash convertible instruments) at terms that differ from the original conversion terms. ASU 2024-04 is effective for fiscal years beginning after December 15, 2025, and interim reporting periods within those annual reporting periods, on a prospective or retrospective basis, with early adoption permitted. The primary purpose of the new ASU 2024-04 is to improve the relevance and consistency in application of the induced conversion guidance in ASC 470-20. We have assessed the guidance and do not expect the new standard to have a material impact on the Consolidated Financial Statements. We plan on adopting the standard on a prospective basis, which is applicable for the interim period commencing on January 1, 2026.</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ASU 2025-05 introduces optional relief for entities estimating expected credit losses on accounts receivable and contract assets arising from revenue transactions under ASC 606, “Revenue from Contracts with Customers.” The guidance allows entities to apply a practical expedient assuming current conditions persist over the asset’s life, and for certain non-public entities, to consider post-balance sheet cash collections when estimating credit losses. ASU 2025-05 is effective for fiscal years beginning after December 15, 2025, and interim reporting periods within those annual reporting periods, with early adoption permitted. We have assessed the impact of this guidance, and do not expect the new standard to have a material impact on the Consolidated Financial Statements. We plan on adopting the standard on a prospective basis, which is applicable for the interim period commencing on January 1, 2026.</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The amendments in ASU 2025-06 improve the operability of the guidance by removing all references to software development project stages so that the guidance is neutral to different software development methods, which may impact the timing and extent of cost capitalization for internal-use software. ASU 2025-06 is effective for fiscal years beginning after December 15, 2027, and interim periods within those annual reporting periods, on a prospective, modified, or retrospective basis, with early adoption permitted. We are currently assessing the guidance, and we do not expect the new standard to have a material impact on the Consolidated Financial Statements.</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4—Revenue Disaggregation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revenues are generated primarily by providing the following types of services: (i) gaming, inclusive of retail sports betting, iCasino, and OSB; (ii) food and beverage; (iii) hotel; and (iv) other. Other revenues are primarily comprised of PENN Interactive’s revenues generated from third-party iCasino and OSB, in addition to the related gross-up for taxes, racing operations, advertising, retail, and commissions received on ATM transactions. Our revenue is disaggregated by type of revenue and geographic location (with no single foreign country’s revenue representing more than 10% of total consolidated revenues) of the related properties, which is consistent with our reportable segments, as follows:</w:t>
      </w:r>
    </w:p>
    <w:tbl>
      <w:tblPr>
        <w:tblW w:w="10928"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63"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2024</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63"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2023</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Other revenues within the Interactive segment are inclusive of gaming tax reimbursement amounts related to third-party OSB and/or iCasino partners for OSB and iCasino market access of $588.3 million, $435.6 million, and $390.4 million for the years ended December 31, 2025, 2024, and 2023, respectively. Additionally, due to the inclusion of Barstool operating results prior to the disposition on August 8, 2023, other revenues within the Interactive segment for the year ended December 31, 2023 included $105.8 million in advertising revenue and $29.8 million in retail revenue.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Primarily represents the elimination of intersegment revenues associated with our retail sportsbooks, which are operated by PENN Interactive.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5—Acquisitions and Dispositions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Barstool Acquisition and Disposition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February 17, 2023, we acquired the remaining 64% of the outstanding shares of Barstool common stock not already owned by us for consideration of approximately $405.5 million, which is inclusive of cash and common stock issuance, repayment of Barstool indebtedness of $23.8 million, transaction expenses and other purchase price adjustments in accordance with GAAP (the “Barstool Acquisition”). Prior to the acquisition, we held a 36% ownership interest, which was accounted for under the equity method. At the closing of the Barstool Acquisition, we obtained 100% of the Barstool common stock, and determined the fair value of Barstool to be $660.0 million based on market participant assumptions. Upon the completion of the Barstool Acquisition, Barstool became an indirect wholly owned subsidiary of PENN. We issued 2,442,809 shares of our common stock to certain former stockholders of Barstool for the Barstool Acquisition (see </w:t>
      </w:r>
      <w:hyperlink w:anchor="ic1a494480e6146a1a6acab9187fe13be_193">
        <w:r>
          <w:rPr>
            <w:rStyle w:val="InternetLink"/>
            <w:rFonts w:ascii="Times New Roman;serif" w:hAnsi="Times New Roman;serif"/>
            <w:b w:val="false"/>
            <w:color w:val="0000FF"/>
            <w:sz w:val="20"/>
            <w:u w:val="single"/>
          </w:rPr>
          <w:t>Note 14, “Stockholders’ Equity”</w:t>
        </w:r>
      </w:hyperlink>
      <w:r>
        <w:rPr>
          <w:color w:val="000000"/>
        </w:rPr>
        <w:t xml:space="preserve"> </w:t>
      </w:r>
      <w:r>
        <w:rPr>
          <w:rFonts w:ascii="Times New Roman;serif" w:hAnsi="Times New Roman;serif"/>
          <w:b w:val="false"/>
          <w:color w:val="000000"/>
          <w:sz w:val="20"/>
        </w:rPr>
        <w:t>for further information) and utilized $315.3 million of cash to complete the Barstool Acquisition, inclusive of transaction expenses and repayment of Barstool indebtedness.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held 36% of the outstanding shares of Barstool common stock prior to the Barstool Acquisition and, as such, the acquisition date estimated fair value of this previously held investment was a component of the purchase consideration. Based on the acquisition date fair value of Barstool of $660.0 million and the carrying amount of this investment of $171.1 million, the Company recorded a gain of $66.5 million related to remeasurement of the equity investment immediately prior to the acquisition date, which is included in “Gain on Barstool Acquisition, net” within our Consolidated Statements of Operations. The Company also recorded a gain of $16.9 million related to the acquisition of the remaining 64% of Barstool common stock, which is included in “Gain on Barstool Acquisition, net” within our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Barstool’s revenue and net loss were included in our results for the period beginning February 17, 2023 through August 7, 2023, the day prior to the Barstool SPA, as described below. Barstool’s revenue and net loss for the period beginning February 17, 2023 through August 7, 2023, included in the Consolidated Statements of Operations, were $99.2 million and $23.9 million,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8, 2023, PENN entered into the Barstool SPA with David Portnoy to sell 100% of the outstanding shares of Barstool to David Portnoy in exchange for nominal cash consideration and certain non-compete and other restrictive covenants. Pursuant to the Barstool SPA, PENN has the right to receive 50% of the gross proceeds received by David Portnoy in any subsequent sale or other monetization event of Barstool.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August 8, 2023, the Company’s Board of Directors (the “Board”) approved the sale of Barstool to David Portnoy, and we classified the assets and liabilities to be disposed of as held-for-sale. These assets and liabilities were measured at the lower of (i) the carrying value when we classified the disposal group as held-for-sale or (ii) the fair value of the disposal group, less costs to sell. The Company recognized a pre-tax loss on disposal of $923.2 million (inclusive of $714.8 million in goodwill and intangible assets write offs and a $70.0 million indemnification liability discussed below) during the third quarter of 2023, included in “Loss on disposal of Barstool” within our Consolidated Statements of Operations. Pursuant to the Barstool SPA, PENN will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Claims under the indemnification are paid upon demand. Provisions in the Barstool SPA limit the time within which an indemnification claim can be made to the later of the resolution of the indemnification claim or the relevant statutes of limitations. In the second quarter of 2024, the Company paid $30.5 million in settlement costs under this indemnification obligation. The maximum potential amount of future payments the Company could be required to make under this indemnification agreement is not estimable at this time due to uncertainties related to potential outcomes and other unique facts and circumstances involved in the Barstool SPA. For information on the tax-related impacts from the Barstool transactions, see </w:t>
      </w:r>
      <w:hyperlink w:anchor="ic1a494480e6146a1a6acab9187fe13be_190">
        <w:r>
          <w:rPr>
            <w:rStyle w:val="InternetLink"/>
            <w:rFonts w:ascii="Times New Roman;serif" w:hAnsi="Times New Roman;serif"/>
            <w:b w:val="false"/>
            <w:color w:val="0000FF"/>
            <w:sz w:val="20"/>
            <w:u w:val="single"/>
          </w:rPr>
          <w:t>Note 13, “Income Taxes.”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6—Investments in and Advances to Unconsolidated Affiliates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Investment in Barstool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In February 2020, we closed on our investment in Barstool pursuant to a stock purchase agreement with Barstool and certain stockholders of Barstool, in which we purchased 36% (inclusive of 1% on a delayed basis) of the common stock, par value $0.0001 per share, of Barstool for a purchase price of $161.2 million. The purchase price consisted of $135.0 million in cash and $23.1 million in shares of a new class of non-voting convertible preferred stock of the Company, in which we issued 883 shares of Series D Preferred Stock, par value $0.01 (the “Series D Preferred Stock”), to certain individual stockholders affiliated with Barstool. With respect to the remaining Barstool shares, we had immediately exercisable call rights and the existing Barstool stockholders had put rights, exercisable beginning three years after closing. Pursuant to the Barstool SPA, on August 11, 2023, all remaining outstanding shares of Series D Preferred Stock were converted to common stock. See </w:t>
      </w:r>
      <w:hyperlink w:anchor="ic1a494480e6146a1a6acab9187fe13be_193">
        <w:r>
          <w:rPr>
            <w:rStyle w:val="InternetLink"/>
            <w:rFonts w:ascii="Times New Roman;serif" w:hAnsi="Times New Roman;serif"/>
            <w:b w:val="false"/>
            <w:color w:val="0000FF"/>
            <w:sz w:val="20"/>
            <w:u w:val="single"/>
          </w:rPr>
          <w:t>Note 14, “Stockholders’ Equity”</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Prior to the acquisition of the remaining Barstool shares (which occurred on February 17, 2023 as discussed in </w:t>
      </w:r>
      <w:hyperlink w:anchor="ic1a494480e6146a1a6acab9187fe13be_160">
        <w:r>
          <w:rPr>
            <w:rStyle w:val="InternetLink"/>
            <w:rFonts w:ascii="Times New Roman;serif" w:hAnsi="Times New Roman;serif"/>
            <w:b w:val="false"/>
            <w:color w:val="0000FF"/>
            <w:sz w:val="20"/>
            <w:u w:val="single"/>
          </w:rPr>
          <w:t>Note 5, “Acquisitions and Dispositions”</w:t>
        </w:r>
      </w:hyperlink>
      <w:r>
        <w:rPr>
          <w:rFonts w:ascii="Times New Roman;serif" w:hAnsi="Times New Roman;serif"/>
          <w:b w:val="false"/>
          <w:color w:val="000000"/>
          <w:sz w:val="20"/>
        </w:rPr>
        <w:t xml:space="preserve">), the Company determined that it did not qualify as the primary beneficiary of Barstool either at the commencement date of its investment or for subsequent periods prior to the acquisition, primarily as a result of the Company not having the power to direct the activities of the VIE that most significantly affect Barstool’s performance. Therefore, the Company did not consolidate the financial position nor the results of operations of Barstool and we recorded our proportionate share of Barstool’s net income or loss one quarter in arrears during the period January 1, 2023 through February 16, 2023.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Kansas Joint Venture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our investment in Kansas Entertainment was $77.8 million and $80.9 million, respectively. During the years ended December 31, 2025, 2024, and 2023, the Company received distributions from Kansas Entertainment totaling $37.4 million, $33.4 million, and $33.3 million, respectively. The Company deems these distributions to be returns on its investment based on the source of those cash flows from the normal business operations of Kansas Entertainment.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NASCAR. Therefore, the Company did not consolidate the financial position of Kansas Entertainment as of December 31, 2025 and 2024, nor the results of operations for the years ended December 31, 2025, 2024, and 2023.</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summarized balance sheet and results of operations information related to Kansas Entertainment and our share of income from unconsolidated affiliates from our investment in Kansas Entertainment:</w:t>
      </w:r>
    </w:p>
    <w:tbl>
      <w:tblPr>
        <w:tblW w:w="3804" w:type="dxa"/>
        <w:jc w:val="left"/>
        <w:tblInd w:w="0" w:type="dxa"/>
        <w:tblLayout w:type="fixed"/>
        <w:tblCellMar>
          <w:top w:w="28" w:type="dxa"/>
          <w:left w:w="28" w:type="dxa"/>
          <w:bottom w:w="28" w:type="dxa"/>
          <w:right w:w="28" w:type="dxa"/>
        </w:tblCellMar>
      </w:tblPr>
      <w:tblGrid>
        <w:gridCol w:w="565"/>
        <w:gridCol w:w="497"/>
        <w:gridCol w:w="498"/>
        <w:gridCol w:w="211"/>
        <w:gridCol w:w="616"/>
        <w:gridCol w:w="109"/>
        <w:gridCol w:w="109"/>
        <w:gridCol w:w="109"/>
        <w:gridCol w:w="109"/>
        <w:gridCol w:w="211"/>
        <w:gridCol w:w="61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86" w:type="dxa"/>
        <w:jc w:val="left"/>
        <w:tblInd w:w="0" w:type="dxa"/>
        <w:tblLayout w:type="fixed"/>
        <w:tblCellMar>
          <w:top w:w="28" w:type="dxa"/>
          <w:left w:w="28" w:type="dxa"/>
          <w:bottom w:w="28" w:type="dxa"/>
          <w:right w:w="28" w:type="dxa"/>
        </w:tblCellMar>
      </w:tblPr>
      <w:tblGrid>
        <w:gridCol w:w="1588"/>
        <w:gridCol w:w="1393"/>
        <w:gridCol w:w="1398"/>
        <w:gridCol w:w="211"/>
        <w:gridCol w:w="616"/>
        <w:gridCol w:w="109"/>
        <w:gridCol w:w="109"/>
        <w:gridCol w:w="109"/>
        <w:gridCol w:w="109"/>
        <w:gridCol w:w="211"/>
        <w:gridCol w:w="616"/>
        <w:gridCol w:w="109"/>
        <w:gridCol w:w="109"/>
        <w:gridCol w:w="109"/>
        <w:gridCol w:w="109"/>
        <w:gridCol w:w="211"/>
        <w:gridCol w:w="61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PENN Entertainment,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7—Property and Equipment, Net</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299" w:type="dxa"/>
        <w:jc w:val="left"/>
        <w:tblInd w:w="0" w:type="dxa"/>
        <w:tblLayout w:type="fixed"/>
        <w:tblCellMar>
          <w:top w:w="28" w:type="dxa"/>
          <w:left w:w="28" w:type="dxa"/>
          <w:bottom w:w="28" w:type="dxa"/>
          <w:right w:w="28" w:type="dxa"/>
        </w:tblCellMar>
      </w:tblPr>
      <w:tblGrid>
        <w:gridCol w:w="1720"/>
        <w:gridCol w:w="1508"/>
        <w:gridCol w:w="1527"/>
        <w:gridCol w:w="211"/>
        <w:gridCol w:w="766"/>
        <w:gridCol w:w="109"/>
        <w:gridCol w:w="109"/>
        <w:gridCol w:w="109"/>
        <w:gridCol w:w="109"/>
        <w:gridCol w:w="211"/>
        <w:gridCol w:w="766"/>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 Not Subject to Master Leases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vessels, and improvements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 Subject to Master Leases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vessels,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expense was as follows:</w:t>
      </w:r>
    </w:p>
    <w:tbl>
      <w:tblPr>
        <w:tblW w:w="5606" w:type="dxa"/>
        <w:jc w:val="left"/>
        <w:tblInd w:w="0" w:type="dxa"/>
        <w:tblLayout w:type="fixed"/>
        <w:tblCellMar>
          <w:top w:w="28" w:type="dxa"/>
          <w:left w:w="28" w:type="dxa"/>
          <w:bottom w:w="28" w:type="dxa"/>
          <w:right w:w="28" w:type="dxa"/>
        </w:tblCellMar>
      </w:tblPr>
      <w:tblGrid>
        <w:gridCol w:w="760"/>
        <w:gridCol w:w="667"/>
        <w:gridCol w:w="672"/>
        <w:gridCol w:w="211"/>
        <w:gridCol w:w="616"/>
        <w:gridCol w:w="109"/>
        <w:gridCol w:w="109"/>
        <w:gridCol w:w="109"/>
        <w:gridCol w:w="109"/>
        <w:gridCol w:w="211"/>
        <w:gridCol w:w="616"/>
        <w:gridCol w:w="109"/>
        <w:gridCol w:w="109"/>
        <w:gridCol w:w="109"/>
        <w:gridCol w:w="109"/>
        <w:gridCol w:w="211"/>
        <w:gridCol w:w="61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(1)During the years ended December 31, 2025, 2024, and 2023, we recorded depreciation expense of $103.4 million, $99.3 million, and $112.4 million, respectively, related to real estate assets subject to our Master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8—Goodwill and Other Intangible Assets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goodwill and accumulated goodwill impairment losses, by reportable segment, is as follows:</w:t>
      </w:r>
    </w:p>
    <w:tbl>
      <w:tblPr>
        <w:tblW w:w="10205" w:type="dxa"/>
        <w:jc w:val="left"/>
        <w:tblInd w:w="0" w:type="dxa"/>
        <w:tblLayout w:type="fixed"/>
        <w:tblCellMar>
          <w:top w:w="28" w:type="dxa"/>
          <w:left w:w="28" w:type="dxa"/>
          <w:bottom w:w="28" w:type="dxa"/>
          <w:right w:w="28" w:type="dxa"/>
        </w:tblCellMar>
      </w:tblPr>
      <w:tblGrid>
        <w:gridCol w:w="737"/>
        <w:gridCol w:w="308"/>
        <w:gridCol w:w="2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11"/>
        <w:gridCol w:w="766"/>
        <w:gridCol w:w="155"/>
      </w:tblGrid>
      <w:tr>
        <w:trPr/>
        <w:tc>
          <w:tcPr>
            <w:tcW w:w="7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 during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 during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Summary of Impairment Charges by Reportable Segment</w:t>
      </w:r>
    </w:p>
    <w:tbl>
      <w:tblPr>
        <w:tblW w:w="10653" w:type="dxa"/>
        <w:jc w:val="left"/>
        <w:tblInd w:w="0" w:type="dxa"/>
        <w:tblLayout w:type="fixed"/>
        <w:tblCellMar>
          <w:top w:w="28" w:type="dxa"/>
          <w:left w:w="28" w:type="dxa"/>
          <w:bottom w:w="28" w:type="dxa"/>
          <w:right w:w="28" w:type="dxa"/>
        </w:tblCellMar>
      </w:tblPr>
      <w:tblGrid>
        <w:gridCol w:w="388"/>
        <w:gridCol w:w="340"/>
        <w:gridCol w:w="263"/>
        <w:gridCol w:w="211"/>
        <w:gridCol w:w="616"/>
        <w:gridCol w:w="109"/>
        <w:gridCol w:w="109"/>
        <w:gridCol w:w="109"/>
        <w:gridCol w:w="109"/>
        <w:gridCol w:w="211"/>
        <w:gridCol w:w="511"/>
        <w:gridCol w:w="109"/>
        <w:gridCol w:w="109"/>
        <w:gridCol w:w="109"/>
        <w:gridCol w:w="109"/>
        <w:gridCol w:w="270"/>
        <w:gridCol w:w="655"/>
        <w:gridCol w:w="141"/>
        <w:gridCol w:w="109"/>
        <w:gridCol w:w="109"/>
        <w:gridCol w:w="109"/>
        <w:gridCol w:w="211"/>
        <w:gridCol w:w="511"/>
        <w:gridCol w:w="109"/>
        <w:gridCol w:w="109"/>
        <w:gridCol w:w="109"/>
        <w:gridCol w:w="109"/>
        <w:gridCol w:w="211"/>
        <w:gridCol w:w="511"/>
        <w:gridCol w:w="109"/>
        <w:gridCol w:w="109"/>
        <w:gridCol w:w="109"/>
        <w:gridCol w:w="109"/>
        <w:gridCol w:w="309"/>
        <w:gridCol w:w="596"/>
        <w:gridCol w:w="161"/>
        <w:gridCol w:w="109"/>
        <w:gridCol w:w="109"/>
        <w:gridCol w:w="109"/>
        <w:gridCol w:w="211"/>
        <w:gridCol w:w="511"/>
        <w:gridCol w:w="109"/>
        <w:gridCol w:w="109"/>
        <w:gridCol w:w="109"/>
        <w:gridCol w:w="109"/>
        <w:gridCol w:w="211"/>
        <w:gridCol w:w="616"/>
        <w:gridCol w:w="154"/>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 Licenses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 Licenses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 Licenses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Segment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charges on goodwill, gaming licenses, and trademarks are recorded to “Impairment losses” within our Consolidated Statement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Interim Assessments for Impairment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third quarter of 2025, PENN announced the mutual decision for an early termination (the “Termination Agreement”) of its Sportsbook Agreement with ESPN (as defined in </w:t>
      </w:r>
      <w:hyperlink w:anchor="ic1a494480e6146a1a6acab9187fe13be_187">
        <w:r>
          <w:rPr>
            <w:rStyle w:val="InternetLink"/>
            <w:rFonts w:ascii="Times New Roman;serif" w:hAnsi="Times New Roman;serif"/>
            <w:b w:val="false"/>
            <w:color w:val="0000FF"/>
            <w:sz w:val="20"/>
            <w:u w:val="single"/>
          </w:rPr>
          <w:t>Note 12, “Commitments and Contingencies”</w:t>
        </w:r>
      </w:hyperlink>
      <w:r>
        <w:rPr>
          <w:rFonts w:ascii="Times New Roman;serif" w:hAnsi="Times New Roman;serif"/>
          <w:b w:val="false"/>
          <w:color w:val="000000"/>
          <w:sz w:val="20"/>
        </w:rPr>
        <w:t xml:space="preserve">). Pursuant to the Termination Agreement, PENN’s exclusive right to use the ESPN BET trademark for OSB in the U.S. ended on December 1, 2025. As a result, the Company realigned its digital focus to leverage the strength of its U.S. iCasino and Canadian operations, while continuing to use OSB to drive both the acquisition of customers with significant lifetime value and unique cross-sell opportunities across PENN’s retail and digital assets. The Company rebranded its OSB offering in the U.S. to theScore Bet.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realignment of its digital focus led the Company to revise its future cash flow projections for the Interactive reporting unit and to perform an interim quantitative impairment test during the third quarter of 2025, which resulted in a non-cash impairment charge of $825.0 million. The impairment charge is presented in “Impairment losses” within the Consolidated Statements of Operations. The estimated fair value of the Interactive goodwill was determined through a combination of a discounted cash flow model and a market-based approach, which utilized Level 3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second quarter of 2025, PENN announced a development project to relocate its Ameristar Council Bluffs (“ACB”) riverboat casino operations to a new, land-based facility to be rebranded as Hollywood Casino Council Bluffs. As a result of this strategic rebranding decision, the Company reassessed the indefinite-lived classification of the ACB trademark and concluded the trademark is no longer considered to have an indefinite useful life. The Company performed a quantitative impairment test, then assigned the remaining carrying amount of $7.0 million a finite useful life of approximately 2.5 years. The interim assessment for impairment resulted in a non-cash impairment charge of $15.0 million, recorded within the Midwest segment, reflecting the decline in the trademark’s fair value. The primary driver of the impairment was a reduction in the projected revenues attributable to the ACB trademark compared to its prior valuation. The impairment charge is presented in “Impairment losses” within the Consolidated Statements of Operations. The fair value of the ACB trademark was estimated using a relief-from-royalty discounted cash flow model incorporating Level 3 inputs.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Annual Assessments for Impairment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2025, the annual assessment for impairment resulted in a non-cash impairment charge of $7.0 million to goodwill in our South segment due to reductions in long-term cash flow projections as a result of economic challenges in a specific operating region. In 2024, we recorded goodwill impairment charges totaling $12.3 million in our South and Midwest segments due to increased competition that led to slight reductions in long-term cash flow projections at certain of our properties. In 2023, we recorded a goodwill impairment charge of $30.0 million at our Hollywood Casino Greektown (“Greektown”) reporting unit due to economic challenges in the region in which it operates. The estimated fair value of the reporting units was determined through a combination of a discounted cash flow model and a market-based approach, which utilized Level 3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2025, 2024, and 2023, the annual assessment for impairment resulted in non-cash impairment charges of $88.3 million, $69.3 million, and $100.6 million, respectively, on our gaming licenses in our Northeast and South segments. A former expansion of legislation in the market and increased supply resulted in reductions in long-term cash flow projections for certain of our properties, resulting in impairment of gaming licenses. The estimated fair values of the gaming licenses were determined by using a discounted cash flow model, which utilized Level 3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2025 and 2024, the annual assessment for impairment resulted in non-cash impairment charges of $10.0 million and $7.5 million, respectively, on our trademarks. These charges primarily related to properties in our South and West segments due to reductions in long-term cash flow projections as a result of increased competition and economic challenges in specific operating regions. The estimated fair values of trademarks were determined by using discounted cash flow models, which utilized Level 3 inputs.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Carrying Values of Goodwill and Other Intangible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October 1, 2025, the date of the most recent annual impairment test, five reporting units had negative carrying amounts. The amount of goodwill at these reporting units was as follows:</w:t>
      </w:r>
    </w:p>
    <w:tbl>
      <w:tblPr>
        <w:tblW w:w="3155" w:type="dxa"/>
        <w:jc w:val="left"/>
        <w:tblInd w:w="0" w:type="dxa"/>
        <w:tblLayout w:type="fixed"/>
        <w:tblCellMar>
          <w:top w:w="28" w:type="dxa"/>
          <w:left w:w="28" w:type="dxa"/>
          <w:bottom w:w="28" w:type="dxa"/>
          <w:right w:w="28" w:type="dxa"/>
        </w:tblCellMar>
      </w:tblPr>
      <w:tblGrid>
        <w:gridCol w:w="825"/>
        <w:gridCol w:w="726"/>
        <w:gridCol w:w="728"/>
        <w:gridCol w:w="211"/>
        <w:gridCol w:w="51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Northeast segment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Plainridge Park 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South segment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Ameristar Vicksburg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Boomtown New Orleans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West segment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Petes and Horseshu</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Midwest segment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Ameristar Council Bluffs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gross carrying amount, accumulated amortization, and net carrying amount of each major class of other intangible assets:</w:t>
      </w:r>
    </w:p>
    <w:tbl>
      <w:tblPr>
        <w:tblW w:w="10205" w:type="dxa"/>
        <w:jc w:val="left"/>
        <w:tblInd w:w="0" w:type="dxa"/>
        <w:tblLayout w:type="fixed"/>
        <w:tblCellMar>
          <w:top w:w="28" w:type="dxa"/>
          <w:left w:w="28" w:type="dxa"/>
          <w:bottom w:w="28" w:type="dxa"/>
          <w:right w:w="28" w:type="dxa"/>
        </w:tblCellMar>
      </w:tblPr>
      <w:tblGrid>
        <w:gridCol w:w="524"/>
        <w:gridCol w:w="460"/>
        <w:gridCol w:w="465"/>
        <w:gridCol w:w="219"/>
        <w:gridCol w:w="795"/>
        <w:gridCol w:w="113"/>
        <w:gridCol w:w="109"/>
        <w:gridCol w:w="109"/>
        <w:gridCol w:w="109"/>
        <w:gridCol w:w="285"/>
        <w:gridCol w:w="855"/>
        <w:gridCol w:w="149"/>
        <w:gridCol w:w="109"/>
        <w:gridCol w:w="109"/>
        <w:gridCol w:w="109"/>
        <w:gridCol w:w="217"/>
        <w:gridCol w:w="789"/>
        <w:gridCol w:w="112"/>
        <w:gridCol w:w="109"/>
        <w:gridCol w:w="109"/>
        <w:gridCol w:w="109"/>
        <w:gridCol w:w="219"/>
        <w:gridCol w:w="795"/>
        <w:gridCol w:w="113"/>
        <w:gridCol w:w="109"/>
        <w:gridCol w:w="109"/>
        <w:gridCol w:w="109"/>
        <w:gridCol w:w="285"/>
        <w:gridCol w:w="855"/>
        <w:gridCol w:w="149"/>
        <w:gridCol w:w="109"/>
        <w:gridCol w:w="109"/>
        <w:gridCol w:w="109"/>
        <w:gridCol w:w="217"/>
        <w:gridCol w:w="788"/>
        <w:gridCol w:w="166"/>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 net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acquired a gaming license for operating online sports wagering in the state of New York, which was recorded to “Gaming licenses” at its fair value of $25.0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our amortizing intangible assets was $39.6 million, $49.9 million, and $58.8 million for the years ended December 31, 2025, 2024, and 2023, respectively. The following table presents the estimated amortization expense based on our amortizing intangible assets as of December 31, 2025:</w:t>
      </w:r>
    </w:p>
    <w:tbl>
      <w:tblPr>
        <w:tblW w:w="3335" w:type="dxa"/>
        <w:jc w:val="left"/>
        <w:tblInd w:w="0" w:type="dxa"/>
        <w:tblLayout w:type="fixed"/>
        <w:tblCellMar>
          <w:top w:w="28" w:type="dxa"/>
          <w:left w:w="28" w:type="dxa"/>
          <w:bottom w:w="28" w:type="dxa"/>
          <w:right w:w="28" w:type="dxa"/>
        </w:tblCellMar>
      </w:tblPr>
      <w:tblGrid>
        <w:gridCol w:w="852"/>
        <w:gridCol w:w="748"/>
        <w:gridCol w:w="754"/>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9—Accrued Expenses and Other Current Liabilities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833" w:type="dxa"/>
        <w:jc w:val="left"/>
        <w:tblInd w:w="0" w:type="dxa"/>
        <w:tblLayout w:type="fixed"/>
        <w:tblCellMar>
          <w:top w:w="28" w:type="dxa"/>
          <w:left w:w="28" w:type="dxa"/>
          <w:bottom w:w="28" w:type="dxa"/>
          <w:right w:w="28" w:type="dxa"/>
        </w:tblCellMar>
      </w:tblPr>
      <w:tblGrid>
        <w:gridCol w:w="1663"/>
        <w:gridCol w:w="1461"/>
        <w:gridCol w:w="1465"/>
        <w:gridCol w:w="211"/>
        <w:gridCol w:w="616"/>
        <w:gridCol w:w="109"/>
        <w:gridCol w:w="109"/>
        <w:gridCol w:w="109"/>
        <w:gridCol w:w="109"/>
        <w:gridCol w:w="211"/>
        <w:gridCol w:w="616"/>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gaming, pari-mutuel, property, and other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 and other 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w:t>
            </w:r>
            <w:r>
              <w:rPr>
                <w:color w:val="000000"/>
              </w:rPr>
              <w:t xml:space="preserve">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jackpot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wagers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Self-insurance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Play loyalty point obligation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(1)Includes expenses related to the Company’s non-qualified deferred compensation plan that covers most management and other highly-compensated employees. See </w:t>
      </w:r>
      <w:hyperlink w:anchor="ic1a494480e6146a1a6acab9187fe13be_187">
        <w:r>
          <w:rPr>
            <w:rStyle w:val="InternetLink"/>
            <w:rFonts w:ascii="Times New Roman;serif" w:hAnsi="Times New Roman;serif"/>
            <w:b w:val="false"/>
            <w:color w:val="0000FF"/>
            <w:sz w:val="16"/>
            <w:u w:val="single"/>
          </w:rPr>
          <w:t>Note 12, “Commitments and Contingencies.”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10—Long-Term Debt</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long-term debt, net of current maturities, debt discounts, and issuance costs:</w:t>
      </w:r>
    </w:p>
    <w:tbl>
      <w:tblPr>
        <w:tblW w:w="6398" w:type="dxa"/>
        <w:jc w:val="left"/>
        <w:tblInd w:w="0" w:type="dxa"/>
        <w:tblLayout w:type="fixed"/>
        <w:tblCellMar>
          <w:top w:w="28" w:type="dxa"/>
          <w:left w:w="28" w:type="dxa"/>
          <w:bottom w:w="28" w:type="dxa"/>
          <w:right w:w="28" w:type="dxa"/>
        </w:tblCellMar>
      </w:tblPr>
      <w:tblGrid>
        <w:gridCol w:w="1397"/>
        <w:gridCol w:w="1227"/>
        <w:gridCol w:w="1230"/>
        <w:gridCol w:w="211"/>
        <w:gridCol w:w="766"/>
        <w:gridCol w:w="109"/>
        <w:gridCol w:w="109"/>
        <w:gridCol w:w="109"/>
        <w:gridCol w:w="109"/>
        <w:gridCol w:w="211"/>
        <w:gridCol w:w="76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A Facility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B Facility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2.75% Convertible Notes due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Debt discounts and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December 31, 2025:</w:t>
      </w:r>
    </w:p>
    <w:tbl>
      <w:tblPr>
        <w:tblW w:w="3485" w:type="dxa"/>
        <w:jc w:val="left"/>
        <w:tblInd w:w="0" w:type="dxa"/>
        <w:tblLayout w:type="fixed"/>
        <w:tblCellMar>
          <w:top w:w="28" w:type="dxa"/>
          <w:left w:w="28" w:type="dxa"/>
          <w:bottom w:w="28" w:type="dxa"/>
          <w:right w:w="28" w:type="dxa"/>
        </w:tblCellMar>
      </w:tblPr>
      <w:tblGrid>
        <w:gridCol w:w="852"/>
        <w:gridCol w:w="748"/>
        <w:gridCol w:w="754"/>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Amended 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3, 2022, the Company entered into an agreement with its various lenders to amend and restate its previous credit agreement (the “Second Amended and Restated Credit Agreement”). The Second Amended and Restated Credit Agreement provides for a $1.0 billion revolving credit facility,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balances of the previous 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loans under the Amended Credit Facilities are, at the Company’s option, equal to either an adjusted secured overnight financing rate (“Term SOFR”) or a base rate, plus an applicable margin. The applicable margin for each of the Amended Revolving Credit Facility and the Amended Term Loan A Facility ranges from 2.25% to 1.50% per annum for Term SOFR loans and 1.25% to 0.50% per annum for base rate loans, in each case depending on the Company’s total net leverage ratio (as defined within the Second Amended and Restated Credit Agreement). The applicable margin for the Amended Term Loan B Facility was 2.75% per annum for Term SOFR loans and 1.75% per annum for base rate loans until the margins were both reduced by 25 basis points pursuant to the Second Amendment Agreement, as discussed and defined below, and effective December 4, 2024. The Amended Term Loan B Facility is subject to a Term SOFR “floor” of 0.50% per annum and a base rate “floor” of 1.50% per annum. In addition, the Company pays a commitment fee on the unused portion of the commitments under the Amended Revolving Credit Facility at a rate that ranges from 0.35% to 0.20% per annum, depending on the Company’s total net leverage ratio (as defined within the Second Amended and Restated Credit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Amended Credit Facilities contain customary covenants that, among other things, restrict, subject to certain exceptions, the ability of the Company and certain of its subsidiaries to grant liens on their assets, incur indebtedness, sell 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Master Leases, which are discussed in </w:t>
      </w:r>
      <w:hyperlink w:anchor="ic1a494480e6146a1a6acab9187fe13be_181">
        <w:r>
          <w:rPr>
            <w:rStyle w:val="InternetLink"/>
            <w:rFonts w:ascii="Times New Roman;serif" w:hAnsi="Times New Roman;serif"/>
            <w:b w:val="false"/>
            <w:color w:val="0000FF"/>
            <w:sz w:val="20"/>
            <w:u w:val="single"/>
          </w:rPr>
          <w:t>Note 11, “Leases.”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2024 (the “Second Amendment Effective Date”), PENN entered into a Second Amendment (the “Second Amendment Agreement”) with its various lenders to reduce the interest rate margins applicable to the Company’s approximately $978.0 million in existing Amended Term Loan B Facility loans from 2.75% to 2.50% for Term SOFR loans, and from 1.75% to 1.50% for base rate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$570.0 million drawn on the Amended Revolving Credit Facility. No amounts were drawn on the revolver as of December 31, 2024. As of December 31, 2025 and 2024, the Company had conditional obligations under letters of credit issued pursuant to the Amended Credit Facilities with face amounts aggregating to $23.9 million and $20.9 million, respectively, resulting in $406.1 million and $979.1 million of available borrowing capacity under the Amended Revolving Credit Facility, respectively. As of February 25, 2026, the Company had $565.0 million in outstanding borrowings under its Amended Revolving Credit Facility, resulting in $411.1 million in available borrowing capacity.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5.625% Senior Unsecured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19, 2017, the Company completed an offering of $400.0 million aggregate principal amount of 5.625% senior unsecured notes that mature on January 15, 2027 (the “5.625% Notes”) at a price of par. Interest on the 5.625% Notes is payable semi-annually on January 15th and July 15th of each year. The 5.625% Notes are not guaranteed by any of the Company’s subsidiaries except in the event that the Company, in the future, issues certain subsidiary-guaranteed debt securities. The Company may redeem the 5.625% Notes at any time, beginning on or after January 15, 2022, at the declining redemption premiums set forth in the indenture governing the 5.625%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4.125% Senior Unsecured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2021, the Company completed an offering of $400.0 million aggregate principal amount of 4.125% senior unsecured notes that mature on July 1, 2029 (the “4.125% Notes”). The 4.125% Notes were issued at par and interest is payable semi-annually on January 1st and July 1st of each year. The 4.125% Notes are not guaranteed by any of the Company’s subsidiaries except in the event that the Company, in the future, issues certain subsidiary-guaranteed debt securities. The Company may redeem the 4.125% Notes at any time on or after July 1, 2024, at the declining redemption premiums set forth in the indenture governing the 4.125% Notes, and, prior to July 1, 2024, at a “make-whole” redemption premium set forth in the indenture governing the 4.125% Notes.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2.75% Unsecured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2020, the Company completed a public offering of $330.5 million aggregate principal amount of 2.75% unsecured convertible notes (the “Convertible Notes”) that mature, unless earlier converted, redeemed or repurchased, on May 15, 2026 at a price of par. After underwriting fees and discounts, net proceeds received by the Company were $322.2 million. Interest on the Convertible Notes is payable semi-annually on May 15 and November 15.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separate and privately negotiated agreements with certain holders of the Convertible Notes to repurchase $223.8 million aggregate principal amount of the Convertible Notes. The repurchases were completed on June 20, 2025, and the Company recorded an $11.8 million loss on the early extinguishment of debt during the year ended December 31, 2025, which is included in “Loss on early extinguishment of debt” within the Consolidated Statements of Operations.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Convertible Notes are scheduled to mature within the next twelve months. However, the Company has classified this obligation as long-term based on its intent and ability to refinance on a long-term basis.</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Convertible Notes are convertible into shares of the Company’s common stock at an initial conversion price of $23.40 per share, or 42.7350 shares, per $1,000 principal amount of Convertible Notes, subject to adjustment if certain corporate events occur. However, in no event will the conversion rate exceed 55.5555 shares of common stock per $1,000 principal amount of Convertible Notes. As of December 31, 2025, the maximum number of shares that could be issued to satisfy the conversion feature of the Convertible Notes is 5,928,661.</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Starting on February 15, 2026, holders may convert the Convertible Notes at any time until the close of business on the second scheduled trading day immediately before May 15, 2026. The Convertible Notes may, at the Company’s election, be settled upon conversion in cash, shares of common stock of the Company, or a combination thereof. Beginning on November 20, 2023, the Company has the option to redeem the Convertible Notes, in whole or in part, subject to certain specified conditions.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holders may require the Company to repurchase the Convertible Notes upon the occurrence of certain corporate events that constitute a fundamental change under the indenture governing the Convertible Notes at a purchase price equal to 100% of the principal amount thereof, plus accrued and unpaid interest to, but excluding, the date of repurchase, subject to the terms therein. In connection with certain corporate events or if the Company issues a notice of redemption, the conversion rate will, under certain circumstances, be increased as set forth in the indenture governing the Convertible Notes.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December 31, 2025, </w:t>
      </w:r>
      <w:r>
        <w:rPr>
          <w:rFonts w:ascii="Times New Roman;serif" w:hAnsi="Times New Roman;serif"/>
          <w:b w:val="false"/>
          <w:color w:val="000000"/>
          <w:sz w:val="20"/>
          <w:shd w:fill="FFFFFF" w:val="clear"/>
        </w:rPr>
        <w:t>none of the</w:t>
      </w:r>
      <w:r>
        <w:rPr>
          <w:color w:val="000000"/>
        </w:rPr>
        <w:t xml:space="preserve"> </w:t>
      </w:r>
      <w:r>
        <w:rPr>
          <w:rFonts w:ascii="Times New Roman;serif" w:hAnsi="Times New Roman;serif"/>
          <w:b w:val="false"/>
          <w:color w:val="000000"/>
          <w:sz w:val="20"/>
        </w:rPr>
        <w:t>Convertible Notes have been converted into shares of the Company’s common stock.</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Convertible Notes consisted of the following components:</w:t>
      </w:r>
    </w:p>
    <w:tbl>
      <w:tblPr>
        <w:tblW w:w="5222" w:type="dxa"/>
        <w:jc w:val="left"/>
        <w:tblInd w:w="0" w:type="dxa"/>
        <w:tblLayout w:type="fixed"/>
        <w:tblCellMar>
          <w:top w:w="28" w:type="dxa"/>
          <w:left w:w="28" w:type="dxa"/>
          <w:bottom w:w="28" w:type="dxa"/>
          <w:right w:w="28" w:type="dxa"/>
        </w:tblCellMar>
      </w:tblPr>
      <w:tblGrid>
        <w:gridCol w:w="1123"/>
        <w:gridCol w:w="913"/>
        <w:gridCol w:w="724"/>
        <w:gridCol w:w="211"/>
        <w:gridCol w:w="616"/>
        <w:gridCol w:w="109"/>
        <w:gridCol w:w="109"/>
        <w:gridCol w:w="109"/>
        <w:gridCol w:w="109"/>
        <w:gridCol w:w="211"/>
        <w:gridCol w:w="616"/>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interest expense, net:</w:t>
      </w:r>
    </w:p>
    <w:tbl>
      <w:tblPr>
        <w:tblW w:w="5276" w:type="dxa"/>
        <w:jc w:val="left"/>
        <w:tblInd w:w="0" w:type="dxa"/>
        <w:tblLayout w:type="fixed"/>
        <w:tblCellMar>
          <w:top w:w="28" w:type="dxa"/>
          <w:left w:w="28" w:type="dxa"/>
          <w:bottom w:w="28" w:type="dxa"/>
          <w:right w:w="28" w:type="dxa"/>
        </w:tblCellMar>
      </w:tblPr>
      <w:tblGrid>
        <w:gridCol w:w="641"/>
        <w:gridCol w:w="563"/>
        <w:gridCol w:w="565"/>
        <w:gridCol w:w="211"/>
        <w:gridCol w:w="616"/>
        <w:gridCol w:w="109"/>
        <w:gridCol w:w="109"/>
        <w:gridCol w:w="109"/>
        <w:gridCol w:w="109"/>
        <w:gridCol w:w="211"/>
        <w:gridCol w:w="616"/>
        <w:gridCol w:w="109"/>
        <w:gridCol w:w="109"/>
        <w:gridCol w:w="109"/>
        <w:gridCol w:w="109"/>
        <w:gridCol w:w="211"/>
        <w:gridCol w:w="61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interest expense related to the Convertible Notes:</w:t>
      </w:r>
    </w:p>
    <w:tbl>
      <w:tblPr>
        <w:tblW w:w="6086" w:type="dxa"/>
        <w:jc w:val="left"/>
        <w:tblInd w:w="0" w:type="dxa"/>
        <w:tblLayout w:type="fixed"/>
        <w:tblCellMar>
          <w:top w:w="28" w:type="dxa"/>
          <w:left w:w="28" w:type="dxa"/>
          <w:bottom w:w="28" w:type="dxa"/>
          <w:right w:w="28" w:type="dxa"/>
        </w:tblCellMar>
      </w:tblPr>
      <w:tblGrid>
        <w:gridCol w:w="1087"/>
        <w:gridCol w:w="954"/>
        <w:gridCol w:w="958"/>
        <w:gridCol w:w="211"/>
        <w:gridCol w:w="406"/>
        <w:gridCol w:w="109"/>
        <w:gridCol w:w="109"/>
        <w:gridCol w:w="109"/>
        <w:gridCol w:w="109"/>
        <w:gridCol w:w="211"/>
        <w:gridCol w:w="511"/>
        <w:gridCol w:w="109"/>
        <w:gridCol w:w="109"/>
        <w:gridCol w:w="109"/>
        <w:gridCol w:w="109"/>
        <w:gridCol w:w="211"/>
        <w:gridCol w:w="51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issuance costs will be amortized to interest expense through May 2026, the remaining term of the Convertible Notes, at an effective interest rate of 3.3%.</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Our Amended Credit Facilities, </w:t>
      </w:r>
      <w:r>
        <w:rPr>
          <w:rFonts w:ascii="Times New Roman;serif" w:hAnsi="Times New Roman;serif"/>
          <w:b w:val="false"/>
          <w:color w:val="000000"/>
          <w:sz w:val="20"/>
        </w:rPr>
        <w:t>5.625%</w:t>
      </w:r>
      <w:r>
        <w:rPr>
          <w:color w:val="000000"/>
          <w:shd w:fill="FFFFFF" w:val="clear"/>
        </w:rPr>
        <w:t xml:space="preserve"> </w:t>
      </w:r>
      <w:r>
        <w:rPr>
          <w:rFonts w:ascii="Times New Roman;serif" w:hAnsi="Times New Roman;serif"/>
          <w:b w:val="false"/>
          <w:color w:val="000000"/>
          <w:sz w:val="20"/>
          <w:shd w:fill="FFFFFF" w:val="clear"/>
        </w:rPr>
        <w:t xml:space="preserve">Notes, and </w:t>
      </w:r>
      <w:r>
        <w:rPr>
          <w:rFonts w:ascii="Times New Roman;serif" w:hAnsi="Times New Roman;serif"/>
          <w:b w:val="false"/>
          <w:color w:val="000000"/>
          <w:sz w:val="20"/>
        </w:rPr>
        <w:t>4.125%</w:t>
      </w:r>
      <w:r>
        <w:rPr>
          <w:color w:val="000000"/>
          <w:shd w:fill="FFFFFF" w:val="clear"/>
        </w:rPr>
        <w:t xml:space="preserve"> </w:t>
      </w:r>
      <w:r>
        <w:rPr>
          <w:rFonts w:ascii="Times New Roman;serif" w:hAnsi="Times New Roman;serif"/>
          <w:b w:val="false"/>
          <w:color w:val="000000"/>
          <w:sz w:val="20"/>
          <w:shd w:fill="FFFFFF" w:val="clear"/>
        </w:rPr>
        <w:t xml:space="preserve">Notes, require us, among other obligations, to maintain specified financial ratios and to satisfy certain financial tests. In addition, our Amended Credit Facilities, </w:t>
      </w:r>
      <w:r>
        <w:rPr>
          <w:rFonts w:ascii="Times New Roman;serif" w:hAnsi="Times New Roman;serif"/>
          <w:b w:val="false"/>
          <w:color w:val="000000"/>
          <w:sz w:val="20"/>
        </w:rPr>
        <w:t>5.625%</w:t>
      </w:r>
      <w:r>
        <w:rPr>
          <w:color w:val="000000"/>
          <w:shd w:fill="FFFFFF" w:val="clear"/>
        </w:rPr>
        <w:t xml:space="preserve"> </w:t>
      </w:r>
      <w:r>
        <w:rPr>
          <w:rFonts w:ascii="Times New Roman;serif" w:hAnsi="Times New Roman;serif"/>
          <w:b w:val="false"/>
          <w:color w:val="000000"/>
          <w:sz w:val="20"/>
          <w:shd w:fill="FFFFFF" w:val="clear"/>
        </w:rPr>
        <w:t xml:space="preserve">Notes, and </w:t>
      </w:r>
      <w:r>
        <w:rPr>
          <w:rFonts w:ascii="Times New Roman;serif" w:hAnsi="Times New Roman;serif"/>
          <w:b w:val="false"/>
          <w:color w:val="000000"/>
          <w:sz w:val="20"/>
        </w:rPr>
        <w:t>4.125%</w:t>
      </w:r>
      <w:r>
        <w:rPr>
          <w:color w:val="000000"/>
          <w:shd w:fill="FFFFFF" w:val="clear"/>
        </w:rPr>
        <w:t xml:space="preserve"> </w:t>
      </w:r>
      <w:r>
        <w:rPr>
          <w:rFonts w:ascii="Times New Roman;serif" w:hAnsi="Times New Roman;serif"/>
          <w:b w:val="false"/>
          <w:color w:val="000000"/>
          <w:sz w:val="20"/>
          <w:shd w:fill="FFFFFF" w:val="clear"/>
        </w:rPr>
        <w:t xml:space="preserve">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discussed in </w:t>
      </w:r>
      <w:hyperlink w:anchor="ic1a494480e6146a1a6acab9187fe13be_181">
        <w:r>
          <w:rPr>
            <w:rStyle w:val="InternetLink"/>
            <w:rFonts w:ascii="Times New Roman;serif" w:hAnsi="Times New Roman;serif"/>
            <w:b w:val="false"/>
            <w:color w:val="0000FF"/>
            <w:sz w:val="20"/>
            <w:u w:val="single"/>
            <w:shd w:fill="FFFFFF" w:val="clear"/>
          </w:rPr>
          <w:t>Note 11, “Leases”</w:t>
        </w:r>
      </w:hyperlink>
      <w:r>
        <w:rPr>
          <w:rFonts w:ascii="Times New Roman;serif" w:hAnsi="Times New Roman;serif"/>
          <w:b w:val="false"/>
          <w:color w:val="000000"/>
          <w:sz w:val="20"/>
          <w:shd w:fill="FFFFFF" w:val="clear"/>
        </w:rPr>
        <w:t>), each with GLPI.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 Company was in compliance with all required financial covenants. The Company believes that it will remain in compliance with all of its required financial covenants for at least the next 12 months following the date of filing this Annual Report on Form 10-K with the SEC.</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Long-Term Obligation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2021, we entered into a third-party financing arrangement providing the Company with upfront and non-refundable cash proceeds of $72.5 million while permitting us to participate in future proceeds on certain claims for insurance coverage benefits from the Company’s insurers (the “Insurers”) for economic losses PENN sustained due to the COVID-19 pandemic. On May 7, 2025, the Superior Court of Pennsylvania (the “SCP”) issued a ruling on the Company’s appeal of a lower court’s summary judgment that found in favor of the Insurers, affirming the lower court’s ruling. As a result of the SCP’s ruling, the Company has determined that obligations under these claims are no longer probable. Accordingly, during the quarter ended March 31, 2025, we recognized a non-cash gain, which consists of the cash proceeds received in 2021 of $72.5 million and $142.6 million of accreted non-cash interest. The gain is recorded as “Gain on financing arrangement” within the Consolidated Statements of Operations for the year ended December 31,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recognizing the non-cash gain, as described above, the financing obligation was classified as a non-current liability and had a $201.2 million balance as of December 31, 2024. Consistent with an obligor’s accounting under a debt instrument, period interest was accreted using an effective interest rate of 27.0% until the time that the claims and related obligations were resolved. The amount included in “Interest expense, net” related to this obligation was $13.9 million, $47.1 million, and $36.1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11—Leases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Master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ROU assets and corresponding lease liabilities with respect to operating and finance leases or (ii) record the incremental variable payment associated with the financing obligation to interest expense.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AR PENN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2023, the Company and GLPI entered into an agreement to amend and restate the triple net master lease dated November 1, 2013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after which the initial rent in the AR PENN Master Lease was reset to $284.1 million, consisting of $208.2 million of building base rent, $43.0 million of land base rent, and $32.9 million of percentage rent (as such terms are defined in the AR PENN Master Lease).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periods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(“AR PENN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AR PENN Master Lease are classified as operating leases and the related expenses are included in “General and administrative” within the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escalator, effective as of November 1 for the lease years ended October 31, the fixed components of rent and an additional ROU asset and corresponding lease liability were recognized as follows:</w:t>
      </w:r>
    </w:p>
    <w:tbl>
      <w:tblPr>
        <w:tblW w:w="7451" w:type="dxa"/>
        <w:jc w:val="left"/>
        <w:tblInd w:w="0" w:type="dxa"/>
        <w:tblLayout w:type="fixed"/>
        <w:tblCellMar>
          <w:top w:w="28" w:type="dxa"/>
          <w:left w:w="28" w:type="dxa"/>
          <w:bottom w:w="28" w:type="dxa"/>
          <w:right w:w="28" w:type="dxa"/>
        </w:tblCellMar>
      </w:tblPr>
      <w:tblGrid>
        <w:gridCol w:w="1544"/>
        <w:gridCol w:w="1355"/>
        <w:gridCol w:w="1360"/>
        <w:gridCol w:w="211"/>
        <w:gridCol w:w="511"/>
        <w:gridCol w:w="109"/>
        <w:gridCol w:w="109"/>
        <w:gridCol w:w="109"/>
        <w:gridCol w:w="109"/>
        <w:gridCol w:w="211"/>
        <w:gridCol w:w="511"/>
        <w:gridCol w:w="109"/>
        <w:gridCol w:w="109"/>
        <w:gridCol w:w="109"/>
        <w:gridCol w:w="109"/>
        <w:gridCol w:w="211"/>
        <w:gridCol w:w="51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escalator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AR PENN Percentage Rent most recently reset on November 1, 2023, and will be effective until the next AR PENN Percentage Rent reset, scheduled to occur on November 1, 2028. As a result of the AR PENN Percentage Rent reset for the lease year ended October 31, 2023, the performance-based component of rent and an additional ROU asset and corresponding lease liability were recognized as follows:</w:t>
      </w:r>
    </w:p>
    <w:tbl>
      <w:tblPr>
        <w:tblW w:w="5570" w:type="dxa"/>
        <w:jc w:val="left"/>
        <w:tblInd w:w="0" w:type="dxa"/>
        <w:tblLayout w:type="fixed"/>
        <w:tblCellMar>
          <w:top w:w="28" w:type="dxa"/>
          <w:left w:w="28" w:type="dxa"/>
          <w:bottom w:w="28" w:type="dxa"/>
          <w:right w:w="28" w:type="dxa"/>
        </w:tblCellMar>
      </w:tblPr>
      <w:tblGrid>
        <w:gridCol w:w="1662"/>
        <w:gridCol w:w="1459"/>
        <w:gridCol w:w="1468"/>
        <w:gridCol w:w="211"/>
        <w:gridCol w:w="61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Reduction to the performance-based component of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execution of the AR PENN Master Lease, as described above, constituted a modification under ASC 842, which required us to reassess the classifications of the lease components and remeasure the associated lease liabilities. We concluded the lease term should end at the current lease expiration date of October 31, 2033 and the optional three renewal periods of five years each were not included in the lease term. The Company continues to evolve from a leading retail gaming operator to a leading provider of integrated entertainment, sports content, and casino gaming experiences. The execution of our omni-channel strategy continues to diversify our earning streams and precluded us from concluding all renewal options were reasonably assured to be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January 1, 2023 lease modification, we concluded (i) the land components contained within the AR PENN Master Lease, which were previously primarily classified as finance leases, to be classified as operating leases, and (ii) control of the building assets have transferred from the Company to the lessor allowing for sale recognition in accordance with ASC 842 which results in the building components to be classified as operating leases. Prior to the January 1, 2023 lease modification event, control of substantially all of the building components were concluded not to have passed from the Company to the lessor in accordance with ASC 842 which required recognition of a financing obligation in accordance with ASC 470 and continued recognition of the underlying asset in “Property and equipment, net” within our Consolidated Balance Sheets. In conjunction with the sale recognition on the building components, we (i) derecognized $1.6 billion of financing obligations within our Consolidated Balance Sheets, offset to “Gain on REIT transactions, net” within our Statements of Operations; and (ii) derecognized $1.1 billion of “Property and equipment, net” associated with the building assets within our Consolidated Balance Sheets, offset to “Gain on REIT transactions, net” within our Consolidated Statements of Operations. As a result of our measurement of the associated operating lease liabilities, we recognized a reduction of the ROU assets and corresponding lease liabilities of $1.2 billion within our Consolidated Balance Sheets as of January 1, 2023.</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AR PENN Master Lease and the 2023 Master Lease are coterminous. As such, consistent with the AR PENN Master Lease, we concluded the 2023 Master Lease term ends at the current lease expiration date of October 31, 2033 and does not include any of the remaining three renewal periods of five years each. (See the above lease term discussion associated with the AR PENN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our lease classification assessment, we concluded all land and building components contained within the 2023 Master Lease to be operating leases. As a result of our measurement of the operating lease liabilities, we recognized ROU assets and corresponding lease liabilities of $1.8 billion. Additionally, the 2023 Master Lease terminated the individual triple net leases with GLPI for the real estate assets associated with Perryville and Meadows, as such we (i) derecognized $171.9 million in ROU assets within our Consolidated Balance Sheets; (ii) derecognized $165.5 million in lease liabilities within our Consolidated Balance Sheets; and (iii) recognized a $6.5 million loss on the termination which is included in “Gain on REIT transactions, net” within our Consolidated Statements of Operations. Expenses related to lease components classified as operating leases are included in “General and administrative” within our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2023 Master Lease includes a base rent (the “2023 Master Lease Base Rent”) equal to $232.2 million and the Master Development Agreement contains additional rent (together with the 2023 Master Lease Base Rent, the “2023 Master Lease Rent”) equal to (i) 7.75% of any project funding received by PENN from GLPI for the relocation of our riverboat casino and related developments with respect to Aurora (the “Aurora Project”); and (ii) a percentage, based on the then-current GLPI stock price, of any project funding received by PENN from GLPI for development projects with respect to Joliet (the “Joliet Project”), M Resort (the “M Resort Project”), and Columbus (the “Columbus Project” and together with the Joliet Project and M Resort Project, the “Other Development Projects,” and together with the Aurora Project, referred to as the “PENN Development Projects”). The Master Development Agreement provides that GLPI will fund up to $225.0 million for the Aurora Project and, upon our request, up to $350.0 million in aggregate for the Other Development Projects, as discussed below. The 2023 Master Lease Rent will be subject to a one-time increase of $1.4 million, effective November 1, 2027. The 2023 Master Lease Rent is subject to an annual fixed escalator rent increase of 1.5% which began on November 1, 2023 and will continue to increase annually thereafter.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PENN Development Projects still under construction are all subject to necessary regulatory and other government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 2025, the Company received the full $130.0 million in committed funding from GLPI for the Joliet Project which opened on August 11, 2025, and on November 3, 2025, the Company received the full $150.0 million in committed funding from GLPI for the M Resort Project, of which the new hotel tower opened on December 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August 1, 2025, we determined that the sale-and-lease back of real estate assets related to the new Joliet facility to GLPI for $130.0 million constituted a lease modification under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August 1, 2025 lease modification, the Company reassessed the land and building components contained within the 2023 Master Lease and remeasured the related lease liabilities. The assessment and remeasurement included the following elements: (i) the removal of the previously leased Joliet facility assets; (ii) the addition of the newly leased Joliet facility assets; and (iii) a $10.1 million increase in annual rent, which is specific to the lease back of the real estate assets related to the new Joliet facility, subject to annual escalation in accordance with the 2023 Master Lease. The modification did not result in a change to the lease classification and all lease components continue to be accounted for as operating leases. Remeasurement of the related operating lease liabilities resulted in a $3.3 million gain, recognized in “Gain on REIT transactions, net” in the Consolidated Statements of Operations. As of the modification date, the Company recognized $166.3 million in ROU assets and $163.0 million in corresponding lease liabilities in the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November 3, 2025, we also determined that the sale-and-lease back of real estate assets related to the new M Resort hotel tower to GLPI for $150.0 million constituted a lease modification under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November 3, 2025 lease modification, the Company reassessed the land and building components contained within the 2023 Master Lease and remeasured the related lease liabilities. The assessment and remeasurement included an $11.7 million increase in annual rent, which is specific to the lease back of the real estate assets related to the new M Resort hotel tower, subject to annual escalation in accordance with the 2023 Master Lease. The modification did not result in a change to the lease classification and all lease components continue to be accounted for as operating leases. As of the modification date, the Company recognized an additional ROU asset and corresponding lease liability of $94.0 million in the Consolidated Balance Sheets.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both the August 1, 2025 and November 3, 2025 lease modifications, we concluded the lease term ends at the current lease expiration date of October 31, 2033, and that the three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neither requested nor received any funding from GLPI for the Aurora Project. We did not request or receive any funding from GLPI for the Columbus Project, and GLPI’s funding commitment expired on December 31, 2025.</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Pinnacle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Pinnacle Entertainment, Inc.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escalator test, effective as of May 1 for the lease years ended April 30, the fixed components of rent and an additional ROU asset and corresponding lease liability were recognized as follows:</w:t>
      </w:r>
    </w:p>
    <w:tbl>
      <w:tblPr>
        <w:tblW w:w="7189" w:type="dxa"/>
        <w:jc w:val="left"/>
        <w:tblInd w:w="0" w:type="dxa"/>
        <w:tblLayout w:type="fixed"/>
        <w:tblCellMar>
          <w:top w:w="28" w:type="dxa"/>
          <w:left w:w="28" w:type="dxa"/>
          <w:bottom w:w="28" w:type="dxa"/>
          <w:right w:w="28" w:type="dxa"/>
        </w:tblCellMar>
      </w:tblPr>
      <w:tblGrid>
        <w:gridCol w:w="1484"/>
        <w:gridCol w:w="1302"/>
        <w:gridCol w:w="1308"/>
        <w:gridCol w:w="213"/>
        <w:gridCol w:w="411"/>
        <w:gridCol w:w="110"/>
        <w:gridCol w:w="109"/>
        <w:gridCol w:w="109"/>
        <w:gridCol w:w="109"/>
        <w:gridCol w:w="211"/>
        <w:gridCol w:w="511"/>
        <w:gridCol w:w="109"/>
        <w:gridCol w:w="109"/>
        <w:gridCol w:w="109"/>
        <w:gridCol w:w="109"/>
        <w:gridCol w:w="211"/>
        <w:gridCol w:w="51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2025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escalator</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ROU asset and lease liability recognized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We did not incur an annual escalator for the lease year ended April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Pinnacle Percentage Rent most recently reset on May 1, 2024 and will be effective until the next Pinnacle Percentage Rent reset, scheduled to occur on May 1, 2026. As a result of the Pinnacle Percentage Rent reset for the lease year ended April 30, 2024, the performance-based component of rent and an additional ROU asset and corresponding lease liability were recognized as follows:</w:t>
      </w:r>
    </w:p>
    <w:tbl>
      <w:tblPr>
        <w:tblW w:w="5706" w:type="dxa"/>
        <w:jc w:val="left"/>
        <w:tblInd w:w="0" w:type="dxa"/>
        <w:tblLayout w:type="fixed"/>
        <w:tblCellMar>
          <w:top w:w="28" w:type="dxa"/>
          <w:left w:w="28" w:type="dxa"/>
          <w:bottom w:w="28" w:type="dxa"/>
          <w:right w:w="28" w:type="dxa"/>
        </w:tblCellMar>
      </w:tblPr>
      <w:tblGrid>
        <w:gridCol w:w="1592"/>
        <w:gridCol w:w="1397"/>
        <w:gridCol w:w="1405"/>
        <w:gridCol w:w="109"/>
        <w:gridCol w:w="109"/>
        <w:gridCol w:w="211"/>
        <w:gridCol w:w="511"/>
        <w:gridCol w:w="109"/>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to the performance-based component of 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ROU asset and lease liability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Pinnacle Master Lease contains land and building components that are classified as finance leases and financing obligations. Expenses related to lease components classified as finance leases are recorded to “Depreciation and amortization” and “Interest expense, net” within the Consolidated Statements of Operations. The Company recognizes interest expense on the lease payments related to the financing obligation under the effective yield method.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Triple Net Leases with REIT Landlords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VICI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2025, the Company entered into a triple net master lease with VICI Properties Inc. (NYSE: VICI) (“VICI”) (“VICI Master Lease”) which amended and restated the Margaritaville Lease and the Greektown Lease (both as defined below) into a single combined lease. The VICI Master Lease has an initial term through May 23, 2034, with four subsequent five-year renewal periods on the same terms and conditions, exercisable at the Company’s option. Upon execution of the VICI Master Lease, initial annual rent was set at $80.7 million, representing the aggregate annual rent under the Margaritaville Lease and the Greektown Lease in effect immediately prior to December 4, 2025. Annual rent will increase by 1.0% to $81.5 million effective June 1, 2026 and, thereafter, will be subject to an annual escalator of up to 1.0% each June 1, depending on a minimum coverage floor ratio of Net Revenue to Rent to be determined over the performance period from June 1, 2025 to May 31, 2026 (as defined within the VICI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determined that the execution of the VICI Master Lease constituted a lease modification under ASC 842. As such, the Company reassessed the land and building components and remeasured the related lease liabilities. The modification did not result in a change to the lease classification, and all lease components continue to be accounted for as operating leases. As of the modification date, the Company recognized an additional ROU asset and corresponding lease liability of $53.5 million in our Consolidated Balance Sheets.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the December 4, 2025 lease modification, we concluded that the lease term ends on May 23, 2034, the expiration of the initial 15-year lease period and that the four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Margaritaville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VICI Master Lease as described above, on January 1, 2019, the Company had entered into an individual triple net lease with VICI for the real estate assets used in the operations of Margaritaville Resort Casino (the “Margaritaville Lease”). The Margaritaville Lease had an initial term of 15 years, with four subsequent five-year renewal periods on the same terms and conditions, exercisable at the Company’s option. The payment structure under the Margaritaville Lease included a fixed component, a portion that was subject to an annual escalator of up to 2% depending on a minimum coverage floor ratio of Net Revenue to Rent of 6.1:1, and a component that was based on performance, which was prospectively adjusted every two years by an amount equal to 4% of the average change in net revenues of the property compared to a contractual baseline during the preceding two years (“Margaritaville Percentage Rent”).</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escalator test, effective as of February 1 for the lease years ended January 31, the fixed components of rent and an additional ROU asset and corresponding lease liability were recognized as follows:</w:t>
      </w:r>
    </w:p>
    <w:tbl>
      <w:tblPr>
        <w:tblW w:w="7136" w:type="dxa"/>
        <w:jc w:val="left"/>
        <w:tblInd w:w="0" w:type="dxa"/>
        <w:tblLayout w:type="fixed"/>
        <w:tblCellMar>
          <w:top w:w="28" w:type="dxa"/>
          <w:left w:w="28" w:type="dxa"/>
          <w:bottom w:w="28" w:type="dxa"/>
          <w:right w:w="28" w:type="dxa"/>
        </w:tblCellMar>
      </w:tblPr>
      <w:tblGrid>
        <w:gridCol w:w="1544"/>
        <w:gridCol w:w="1355"/>
        <w:gridCol w:w="1360"/>
        <w:gridCol w:w="211"/>
        <w:gridCol w:w="406"/>
        <w:gridCol w:w="109"/>
        <w:gridCol w:w="109"/>
        <w:gridCol w:w="109"/>
        <w:gridCol w:w="109"/>
        <w:gridCol w:w="211"/>
        <w:gridCol w:w="406"/>
        <w:gridCol w:w="109"/>
        <w:gridCol w:w="109"/>
        <w:gridCol w:w="109"/>
        <w:gridCol w:w="109"/>
        <w:gridCol w:w="211"/>
        <w:gridCol w:w="406"/>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escalator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Margaritaville Percentage Rent reset on February 1, 2025. As a result of the Margaritaville Percentage Rent resets for the lease years ended January 31, the performance-based component of rent and an additional ROU asset and corresponding lease liability were recognized as follows:</w:t>
      </w:r>
    </w:p>
    <w:tbl>
      <w:tblPr>
        <w:tblW w:w="8001" w:type="dxa"/>
        <w:jc w:val="left"/>
        <w:tblInd w:w="0" w:type="dxa"/>
        <w:tblLayout w:type="fixed"/>
        <w:tblCellMar>
          <w:top w:w="28" w:type="dxa"/>
          <w:left w:w="28" w:type="dxa"/>
          <w:bottom w:w="28" w:type="dxa"/>
          <w:right w:w="28" w:type="dxa"/>
        </w:tblCellMar>
      </w:tblPr>
      <w:tblGrid>
        <w:gridCol w:w="1901"/>
        <w:gridCol w:w="1669"/>
        <w:gridCol w:w="1679"/>
        <w:gridCol w:w="211"/>
        <w:gridCol w:w="481"/>
        <w:gridCol w:w="109"/>
        <w:gridCol w:w="109"/>
        <w:gridCol w:w="109"/>
        <w:gridCol w:w="109"/>
        <w:gridCol w:w="175"/>
        <w:gridCol w:w="175"/>
        <w:gridCol w:w="176"/>
        <w:gridCol w:w="109"/>
        <w:gridCol w:w="109"/>
        <w:gridCol w:w="109"/>
        <w:gridCol w:w="211"/>
        <w:gridCol w:w="406"/>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to the performance-based component of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N/A - There was no Margaritaville Percentage Rent reset scheduled for this period.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VICI Master Lease, the land and building components within the Margaritaville Lease were classified as operating leases and the related expenses were included in “General and administrative” within our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Greektown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VICI Master Lease as described above, on May 23, 2019, the Company had entered into an individual triple net lease with VICI for the real estate assets used in the operations of Greektown (the “Greektown Lease”). The Greektown Lease had an initial term of 15 years, with four subsequent five-year renewal periods on the same terms and conditions, exercisable at the Company’s option. The payment structure under the Greektown Lease included a fixed component, a portion subject to an annual escalator of up to 2% initially determined based on an Adjusted Revenue to Rent ratio, as defined in the Greektown Lease, and subsequently amended to be determined based on an agreed upon minimum coverage floor ratio of Net Revenue to Rent, and a component that was based on performance, which was prospectively adjusted every two years by an amount equal to 4% of the average change in net revenues of the property compared to a contractual baseline during the preceding two years (“Greektown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incur an annual escalator for the lease years ended May 31, 2025, 2024, and 2023.</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Greektown Percentage Rent reset on June 1, 2025. As a result of the Greektown Percentage Rent resets for the lease years ended May 31, the performance-based component of rent and an additional ROU asset and corresponding lease liability were recognized as follows:</w:t>
      </w:r>
    </w:p>
    <w:tbl>
      <w:tblPr>
        <w:tblW w:w="7071" w:type="dxa"/>
        <w:jc w:val="left"/>
        <w:tblInd w:w="0" w:type="dxa"/>
        <w:tblLayout w:type="fixed"/>
        <w:tblCellMar>
          <w:top w:w="28" w:type="dxa"/>
          <w:left w:w="28" w:type="dxa"/>
          <w:bottom w:w="28" w:type="dxa"/>
          <w:right w:w="28" w:type="dxa"/>
        </w:tblCellMar>
      </w:tblPr>
      <w:tblGrid>
        <w:gridCol w:w="1592"/>
        <w:gridCol w:w="1397"/>
        <w:gridCol w:w="1405"/>
        <w:gridCol w:w="211"/>
        <w:gridCol w:w="406"/>
        <w:gridCol w:w="109"/>
        <w:gridCol w:w="109"/>
        <w:gridCol w:w="109"/>
        <w:gridCol w:w="109"/>
        <w:gridCol w:w="175"/>
        <w:gridCol w:w="175"/>
        <w:gridCol w:w="176"/>
        <w:gridCol w:w="109"/>
        <w:gridCol w:w="109"/>
        <w:gridCol w:w="109"/>
        <w:gridCol w:w="211"/>
        <w:gridCol w:w="40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to the performance-based component of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N/A - There was no Greektown Percentage Rent reset scheduled for this period.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VICI Master Lease, the land and building components within the Greektown Lease were classified as operating leases and the related expenses were included in “General and administrative” within our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 2020, the Company entered into an individual triple net lease with a subsidiary of GLPI for the land underlying our development project in Morgantown, Pennsylvania (“Morgantown Lease”) in exchange for $30.0 million in rent credits.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concluded control of the land underlying the Morgantown facility was not passed from the Company to the lessor in accordance with ASC 842. As such we recognized a financing obligation in accordance with ASC 470 and continue to recognize the underlying land asset in “Property and equipment, net” within our Consolidated Balance Sheets. The Company recognizes interest expense on the lease payments related to the financing obligation under the effective yield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the Master Leases, VICI Master Lease, Margaritaville Lease (prior to December 4, 2025), Greektown Lease (prior to December 4, 2025), and Morgantown Lease, collectively, as our “Triple Net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Non-REIT Operating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any operating lease components contained within the Master Leases, VICI Master Lease, Margaritaville Lease (prior to December 4, 2025), and Greektown Lease (prior to December 4, 2025, and collectively referred to as “triple net operating leases”), the Company’s operating leases consist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lease term and discount rate was as follows:</w:t>
      </w:r>
    </w:p>
    <w:tbl>
      <w:tblPr>
        <w:tblW w:w="5991" w:type="dxa"/>
        <w:jc w:val="left"/>
        <w:tblInd w:w="0" w:type="dxa"/>
        <w:tblLayout w:type="fixed"/>
        <w:tblCellMar>
          <w:top w:w="28" w:type="dxa"/>
          <w:left w:w="28" w:type="dxa"/>
          <w:bottom w:w="28" w:type="dxa"/>
          <w:right w:w="28" w:type="dxa"/>
        </w:tblCellMar>
      </w:tblPr>
      <w:tblGrid>
        <w:gridCol w:w="1359"/>
        <w:gridCol w:w="1194"/>
        <w:gridCol w:w="1196"/>
        <w:gridCol w:w="206"/>
        <w:gridCol w:w="206"/>
        <w:gridCol w:w="518"/>
        <w:gridCol w:w="109"/>
        <w:gridCol w:w="109"/>
        <w:gridCol w:w="109"/>
        <w:gridCol w:w="203"/>
        <w:gridCol w:w="203"/>
        <w:gridCol w:w="579"/>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1435"/>
        <w:gridCol w:w="1184"/>
        <w:gridCol w:w="1166"/>
        <w:gridCol w:w="889"/>
        <w:gridCol w:w="846"/>
        <w:gridCol w:w="848"/>
        <w:gridCol w:w="109"/>
        <w:gridCol w:w="109"/>
        <w:gridCol w:w="109"/>
        <w:gridCol w:w="211"/>
        <w:gridCol w:w="616"/>
        <w:gridCol w:w="109"/>
        <w:gridCol w:w="109"/>
        <w:gridCol w:w="109"/>
        <w:gridCol w:w="109"/>
        <w:gridCol w:w="211"/>
        <w:gridCol w:w="616"/>
        <w:gridCol w:w="109"/>
        <w:gridCol w:w="109"/>
        <w:gridCol w:w="109"/>
        <w:gridCol w:w="109"/>
        <w:gridCol w:w="211"/>
        <w:gridCol w:w="616"/>
        <w:gridCol w:w="157"/>
      </w:tblGrid>
      <w:tr>
        <w:trPr/>
        <w:tc>
          <w:tcPr>
            <w:tcW w:w="143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on</w:t>
              <w:b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5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Lease Costs</w:t>
            </w:r>
          </w:p>
        </w:tc>
        <w:tc>
          <w:tcPr>
            <w:tcW w:w="2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(1)</w:t>
            </w:r>
          </w:p>
        </w:tc>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w:t>
            </w:r>
            <w:r>
              <w:rPr>
                <w:color w:val="000000"/>
              </w:rPr>
              <w:t xml:space="preserve"> </w:t>
            </w:r>
            <w:r>
              <w:rPr>
                <w:rFonts w:ascii="Times New Roman;serif" w:hAnsi="Times New Roman;serif"/>
                <w:b w:val="false"/>
                <w:color w:val="000000"/>
                <w:sz w:val="13"/>
              </w:rPr>
              <w:t>(2)</w:t>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w:t>
            </w:r>
            <w:r>
              <w:rPr>
                <w:color w:val="000000"/>
              </w:rPr>
              <w:t xml:space="preserve"> </w:t>
            </w:r>
            <w:r>
              <w:rPr>
                <w:rFonts w:ascii="Times New Roman;serif" w:hAnsi="Times New Roman;serif"/>
                <w:b w:val="false"/>
                <w:color w:val="000000"/>
                <w:sz w:val="13"/>
              </w:rPr>
              <w:t>(2)</w:t>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2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lease liabilities </w:t>
            </w:r>
            <w:r>
              <w:rPr>
                <w:rFonts w:ascii="Times New Roman;serif" w:hAnsi="Times New Roman;serif"/>
                <w:b w:val="false"/>
                <w:color w:val="000000"/>
                <w:sz w:val="13"/>
              </w:rPr>
              <w:t>(3)</w:t>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ROU assets </w:t>
            </w:r>
            <w:r>
              <w:rPr>
                <w:rFonts w:ascii="Times New Roman;serif" w:hAnsi="Times New Roman;serif"/>
                <w:b w:val="false"/>
                <w:color w:val="000000"/>
                <w:sz w:val="13"/>
              </w:rPr>
              <w:t>(3)</w:t>
            </w:r>
          </w:p>
        </w:tc>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Obligation Costs</w:t>
            </w:r>
          </w:p>
        </w:tc>
        <w:tc>
          <w:tcPr>
            <w:tcW w:w="2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financing obligations </w:t>
            </w:r>
            <w:r>
              <w:rPr>
                <w:rFonts w:ascii="Times New Roman;serif" w:hAnsi="Times New Roman;serif"/>
                <w:b w:val="false"/>
                <w:color w:val="000000"/>
                <w:sz w:val="13"/>
              </w:rPr>
              <w:t>(4)</w:t>
            </w:r>
          </w:p>
        </w:tc>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(1)Consists of the following: (i) AR PENN Master Lease; (ii) 2023 Master Lease; (iii) Margaritaville Lease (for the period January 1, 2023 to December 3, 2025); (iv) Greektown Lease (for the period January 1, 2023 to December 3, 2025); and (v) VICI Master Lease (beginning December 4,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(2)Excludes the operating lease costs and variable lease costs pertaining to our triple net leases with our REIT landlords classified as operating leases, discussed in footnote (1) above.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(3)Pertains to the finance lease components associated with the Pinnacle Master Lease (land).</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Pertains to the components contained within the Pinnacle Master Lease (buildings) and the Morgantown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9656" w:type="dxa"/>
        <w:jc w:val="left"/>
        <w:tblInd w:w="0" w:type="dxa"/>
        <w:tblLayout w:type="fixed"/>
        <w:tblCellMar>
          <w:top w:w="28" w:type="dxa"/>
          <w:left w:w="28" w:type="dxa"/>
          <w:bottom w:w="28" w:type="dxa"/>
          <w:right w:w="28" w:type="dxa"/>
        </w:tblCellMar>
      </w:tblPr>
      <w:tblGrid>
        <w:gridCol w:w="2174"/>
        <w:gridCol w:w="1908"/>
        <w:gridCol w:w="1917"/>
        <w:gridCol w:w="211"/>
        <w:gridCol w:w="616"/>
        <w:gridCol w:w="109"/>
        <w:gridCol w:w="109"/>
        <w:gridCol w:w="109"/>
        <w:gridCol w:w="109"/>
        <w:gridCol w:w="211"/>
        <w:gridCol w:w="616"/>
        <w:gridCol w:w="109"/>
        <w:gridCol w:w="109"/>
        <w:gridCol w:w="109"/>
        <w:gridCol w:w="109"/>
        <w:gridCol w:w="211"/>
        <w:gridCol w:w="766"/>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lease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finance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under the Triple Net Leases were as follows:</w:t>
      </w:r>
    </w:p>
    <w:tbl>
      <w:tblPr>
        <w:tblW w:w="5546" w:type="dxa"/>
        <w:jc w:val="left"/>
        <w:tblInd w:w="0" w:type="dxa"/>
        <w:tblLayout w:type="fixed"/>
        <w:tblCellMar>
          <w:top w:w="28" w:type="dxa"/>
          <w:left w:w="28" w:type="dxa"/>
          <w:bottom w:w="28" w:type="dxa"/>
          <w:right w:w="28" w:type="dxa"/>
        </w:tblCellMar>
      </w:tblPr>
      <w:tblGrid>
        <w:gridCol w:w="739"/>
        <w:gridCol w:w="649"/>
        <w:gridCol w:w="651"/>
        <w:gridCol w:w="211"/>
        <w:gridCol w:w="616"/>
        <w:gridCol w:w="109"/>
        <w:gridCol w:w="109"/>
        <w:gridCol w:w="109"/>
        <w:gridCol w:w="109"/>
        <w:gridCol w:w="211"/>
        <w:gridCol w:w="616"/>
        <w:gridCol w:w="109"/>
        <w:gridCol w:w="109"/>
        <w:gridCol w:w="109"/>
        <w:gridCol w:w="109"/>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VICI Master Lease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Lease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Greektown Lease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Morgantown Lease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(1)Prior to December 4, 2025, lease payments made to VICI related to the Margaritaville and Greektown individual triple net leases; effective December 4, 2025, lease payments made to VICI relate to the VICI Master Lease.</w:t>
      </w:r>
    </w:p>
    <w:p>
      <w:pPr>
        <w:pStyle w:val="TextBody"/>
        <w:bidi w:val="0"/>
        <w:spacing w:lineRule="auto" w:line="288" w:before="0" w:after="10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is a maturity analysis of our operating leases, finance leases, and financing obligations as of December 31, 2025:</w:t>
      </w:r>
    </w:p>
    <w:tbl>
      <w:tblPr>
        <w:tblW w:w="9157" w:type="dxa"/>
        <w:jc w:val="left"/>
        <w:tblInd w:w="0" w:type="dxa"/>
        <w:tblLayout w:type="fixed"/>
        <w:tblCellMar>
          <w:top w:w="28" w:type="dxa"/>
          <w:left w:w="28" w:type="dxa"/>
          <w:bottom w:w="28" w:type="dxa"/>
          <w:right w:w="28" w:type="dxa"/>
        </w:tblCellMar>
      </w:tblPr>
      <w:tblGrid>
        <w:gridCol w:w="1261"/>
        <w:gridCol w:w="1107"/>
        <w:gridCol w:w="1111"/>
        <w:gridCol w:w="309"/>
        <w:gridCol w:w="1122"/>
        <w:gridCol w:w="159"/>
        <w:gridCol w:w="109"/>
        <w:gridCol w:w="109"/>
        <w:gridCol w:w="109"/>
        <w:gridCol w:w="271"/>
        <w:gridCol w:w="984"/>
        <w:gridCol w:w="140"/>
        <w:gridCol w:w="109"/>
        <w:gridCol w:w="109"/>
        <w:gridCol w:w="109"/>
        <w:gridCol w:w="379"/>
        <w:gridCol w:w="1380"/>
        <w:gridCol w:w="280"/>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Obligations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obligations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2,297.8 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Lessor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its hotel rooms to patrons and records the corresponding lessor revenue in “Food, beverage, hotel, and other revenues” within our Consolidated Statements of Operations. For the years ended December 31, 2025, 2024, and 2023, the Company recognized $253.3 million, $250.0 million, and $247.3 million of lessor revenues related to the rental of hotel rooms, respectively. Hotel leasing arrangements vary in duration but are short-term in nature. The cost and accumulated depreciation of property and equipment associated with hotel rooms is included in “Property and equipment, net” within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12—Commitments and Contingencies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ESPN Sportsbook and Investment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8, 2023, PENN entered into the Sportsbook Agreement (the “Sportsbook Agreement”) with ESPN relating to OSB in the U.S. Pursuant to the Sportsbook Agreement, PENN received the exclusive right to use the ESPN BET trademark for OSB in the U.S.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Sportsbook Agreement had an initial 10-year term, with the right for either party to terminate the agreement after the third year if specific market share performance thresholds were not met. In consideration for the media marketing services and brand and other rights provided by ESPN, PENN agreed to pay $150.0 million per year in cash pursuant to the Sportsbook Agreement.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Sportsbook Agreement, PENN and ESPN also entered into an Investment Agreement (the “Investment Agreement”) on August 8, 2023. The Investment Agreement provided for the issuance to ESPN of certain warrants to purchase shares of PENN common stock, par value $0.01 per share, and set forth certain other governance rights of ESPN. </w:t>
      </w:r>
    </w:p>
    <w:p>
      <w:pPr>
        <w:pStyle w:val="TextBody"/>
        <w:bidi w:val="0"/>
        <w:spacing w:lineRule="auto" w:line="288" w:before="0" w:after="200"/>
        <w:ind w:left="0" w:right="0" w:firstLine="360"/>
        <w:jc w:val="left"/>
        <w:rPr/>
      </w:pPr>
      <w:r>
        <w:rPr>
          <w:rFonts w:ascii="Times New Roman;serif" w:hAnsi="Times New Roman;serif"/>
          <w:b w:val="false"/>
          <w:color w:val="000000"/>
          <w:sz w:val="20"/>
        </w:rPr>
        <w:t>Pursuant to the Investment Agreement PENN issued to ESPN warrants to purchase approximately 31.8 million shares of PENN common stock,</w:t>
      </w:r>
      <w:r>
        <w:rPr>
          <w:color w:val="000000"/>
          <w:shd w:fill="FFFFFF" w:val="clear"/>
        </w:rPr>
        <w:t xml:space="preserve"> </w:t>
      </w:r>
      <w:r>
        <w:rPr>
          <w:rFonts w:ascii="Times New Roman;serif" w:hAnsi="Times New Roman;serif"/>
          <w:b w:val="false"/>
          <w:color w:val="000000"/>
          <w:sz w:val="20"/>
          <w:shd w:fill="FFFFFF" w:val="clear"/>
        </w:rPr>
        <w:t>subject to vesting (“Initial Warrants”). The warrants were classified as equity and contained three separate tranches. At the grant date, the $550.4 million fair value of the Initial Warrants was determined using the Black-Scholes option-pricing model with contractual terms ranging from 9.5 to 11.5 years, and strike prices ranging from $26.08 to $32.60. Additionally, if after February 29, 2024 and during the term of the Sportsbook Agreement had PENN achieved specified performance conditions based on an average market share based on gross gaming revenue in the states in which the Sportsbook operated (as defined within the Investment Agreement), PENN would have issued to ESPN warrants to purchase up to an additional 6.4 million shares of PENN common stock (“Bonus Warrants”).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5, 2025, PENN and ESPN entered into the Termination Agreement to terminate the Sportsbook Agreement, effective December 1, 2025 (the “Termination Date”). Pursuant to the Termination Agreement, PENN’s exclusive right to use the ESPN BET trademark for OSB in the U.S. ended on the Termination Date. The Termination Agreement provided that PENN pay ESPN a total of $38.1 million in the fourth quarter of 2025 in respect of all remaining fees owed through the Termination Date. In addition, PENN paid ESPN a total of $5.0 million following the Termination Date for traditional media to support theScore Bet and/or Hollywood iCasino offerings. Per the Termination Agreement, these payments settled all outstanding payment obligations from PENN to ESPN under the Sportsbook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On November 5, 2025, in connection with the Termination Agreement, PENN and ESPN entered into Amendment No. 1 to the Investment Agreement (the “Investment Agreement Amendment”) to amend certain terms of the Investment Agreement. Pursuant to the Investment Agreement Amendment, effective November 5, 2025, the Initial Warrants were deemed vested through and including February 8, 2026, the unvested portion of each of the Initial Warrants held by ESPN were forfeited and cancelled for no consideration, and PENN did not issue any Bonus Warrants. As of November 5, 2025, ESPN held (i) a warrant to purchase 3,177,610 shares of PENN common stock with an expiration date of February 8, 2033 and an exercise price of $26.08;</w:t>
      </w:r>
      <w:r>
        <w:rPr>
          <w:color w:val="000000"/>
        </w:rPr>
        <w:t xml:space="preserve"> </w:t>
      </w:r>
      <w:r>
        <w:rPr>
          <w:rFonts w:ascii="Times New Roman;serif" w:hAnsi="Times New Roman;serif"/>
          <w:b w:val="false"/>
          <w:color w:val="000000"/>
          <w:sz w:val="20"/>
        </w:rPr>
        <w:t>(ii) a warrant to purchase 3,200,930 shares of PENN common stock with an expiration date of February 8, 2034 and an exercise price of $29.99; and (iii) a warrant to purchase 1,578,670 shares of PENN common stock with an expiration date of February 8, 2035 and an exercise price of $32.60.</w:t>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During the years ended December 31, 2025,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 xml:space="preserve">2023, </w:t>
      </w:r>
      <w:r>
        <w:rPr>
          <w:rFonts w:ascii="Times New Roman;serif" w:hAnsi="Times New Roman;serif"/>
          <w:b w:val="false"/>
          <w:color w:val="000000"/>
          <w:sz w:val="20"/>
          <w:shd w:fill="FFFFFF" w:val="clear"/>
        </w:rPr>
        <w:t xml:space="preserve">the Company recognized expenses of $155.6 million, $179.2 million and </w:t>
      </w:r>
      <w:r>
        <w:rPr>
          <w:rFonts w:ascii="Times New Roman;serif" w:hAnsi="Times New Roman;serif"/>
          <w:b w:val="false"/>
          <w:color w:val="000000"/>
          <w:sz w:val="20"/>
        </w:rPr>
        <w:t>$33.3 million</w:t>
      </w:r>
      <w:r>
        <w:rPr>
          <w:rFonts w:ascii="Times New Roman;serif" w:hAnsi="Times New Roman;serif"/>
          <w:b w:val="false"/>
          <w:color w:val="000000"/>
          <w:sz w:val="20"/>
          <w:shd w:fill="FFFFFF" w:val="clear"/>
        </w:rPr>
        <w:t xml:space="preserve">, respectively, related to the Sportsbook Agreement, and $57.1 million, $67.9 million, and </w:t>
      </w:r>
      <w:r>
        <w:rPr>
          <w:rFonts w:ascii="Times New Roman;serif" w:hAnsi="Times New Roman;serif"/>
          <w:b w:val="false"/>
          <w:color w:val="000000"/>
          <w:sz w:val="20"/>
        </w:rPr>
        <w:t>$12.5 million,</w:t>
      </w:r>
      <w:r>
        <w:rPr>
          <w:color w:val="000000"/>
          <w:shd w:fill="FFFFFF" w:val="clear"/>
        </w:rPr>
        <w:t xml:space="preserve"> </w:t>
      </w:r>
      <w:r>
        <w:rPr>
          <w:rFonts w:ascii="Times New Roman;serif" w:hAnsi="Times New Roman;serif"/>
          <w:b w:val="false"/>
          <w:color w:val="000000"/>
          <w:sz w:val="20"/>
          <w:shd w:fill="FFFFFF" w:val="clear"/>
        </w:rPr>
        <w:t xml:space="preserve">respectively, related to the Investment Agreement. Expenses related to the Sportsbook Agreement and the </w:t>
      </w:r>
      <w:r>
        <w:rPr>
          <w:rFonts w:ascii="Times New Roman;serif" w:hAnsi="Times New Roman;serif"/>
          <w:b w:val="false"/>
          <w:color w:val="000000"/>
          <w:sz w:val="20"/>
        </w:rPr>
        <w:t>Investment</w:t>
      </w:r>
      <w:r>
        <w:rPr>
          <w:color w:val="000000"/>
          <w:shd w:fill="FFFFFF" w:val="clear"/>
        </w:rPr>
        <w:t xml:space="preserve"> </w:t>
      </w:r>
      <w:r>
        <w:rPr>
          <w:rFonts w:ascii="Times New Roman;serif" w:hAnsi="Times New Roman;serif"/>
          <w:b w:val="false"/>
          <w:color w:val="000000"/>
          <w:sz w:val="20"/>
          <w:shd w:fill="FFFFFF" w:val="clear"/>
        </w:rPr>
        <w:t>Agreement are recorded within “Gaming” expenses on the Consolidated Statements of Operations and recognized in accordance with ou</w:t>
      </w:r>
      <w:r>
        <w:rPr>
          <w:rFonts w:ascii="Times New Roman;serif" w:hAnsi="Times New Roman;serif"/>
          <w:b w:val="false"/>
          <w:color w:val="000000"/>
          <w:sz w:val="20"/>
        </w:rPr>
        <w:t xml:space="preserve">r policies. See </w:t>
      </w:r>
      <w:hyperlink w:anchor="ic1a494480e6146a1a6acab9187fe13be_148">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20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Location Share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Prairie State Gaming (“PSG”) enters into location share agreements with bar and retail establishments in Illinois. These agreements are contracts which allow PSG to place VGTs in the bar or retail establishment in exchange for a percentage of the variable revenue generated by the VGTs. PSG holds the gaming license with the state of Illinois and the location share percentage is determined by the state of Illinois. The Company records the location share payments to “Gaming” expense within the Consolidated Statements of Operations. For the years ended December 31, 2025, 2024, and 2023, the total location share payments made by PSG were $43.6 million, $45.0 million, and $45.3 million,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Company has obligations to purchase various goods and services totaling $473.4 million as of December 31, 2025, including $268.5 million which will be incurred in 2026. Purchase obligations totaled $1.0 billion as of December 31, 2024. The decrease over the prior year is primarily due to the termination of the Sportsbook Agreement with ESPN, as well as the opening of the Joliet Project and the M Resort project during the year ended December 31, 2025. See </w:t>
      </w:r>
      <w:hyperlink w:anchor="ic1a494480e6146a1a6acab9187fe13be_181">
        <w:r>
          <w:rPr>
            <w:rStyle w:val="InternetLink"/>
            <w:rFonts w:ascii="Times New Roman;serif" w:hAnsi="Times New Roman;serif"/>
            <w:b w:val="false"/>
            <w:color w:val="0000FF"/>
            <w:sz w:val="20"/>
            <w:u w:val="single"/>
          </w:rPr>
          <w:t>Note 11, “Leases”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Capital Expenditure Commitments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Pursuant to each of our Triple Net Leases, with the exception of our Morgantown Lease (which is a land lease we entered into on October 1, 2020 with GLPI as discussed in </w:t>
      </w:r>
      <w:hyperlink w:anchor="ic1a494480e6146a1a6acab9187fe13be_181">
        <w:r>
          <w:rPr>
            <w:rStyle w:val="InternetLink"/>
            <w:rFonts w:ascii="Times New Roman;serif" w:hAnsi="Times New Roman;serif"/>
            <w:b w:val="false"/>
            <w:color w:val="0000FF"/>
            <w:sz w:val="20"/>
            <w:u w:val="single"/>
          </w:rPr>
          <w:t>Note 11, “Leases”</w:t>
        </w:r>
      </w:hyperlink>
      <w:r>
        <w:rPr>
          <w:rFonts w:ascii="Times New Roman;serif" w:hAnsi="Times New Roman;serif"/>
          <w:b w:val="false"/>
          <w:color w:val="000000"/>
          <w:sz w:val="20"/>
        </w:rPr>
        <w:t>), we are obligated to spend a minimum of 1% of annual net revenues, in the aggregate under each lease, on the maintenance of such facilities. Additionally, during the year ended December 31, 2025, we had project capital expenditures of $408.4 million, the majority of which are</w:t>
      </w:r>
      <w:r>
        <w:rPr>
          <w:color w:val="000000"/>
          <w:shd w:fill="FFFFFF" w:val="clear"/>
        </w:rPr>
        <w:t xml:space="preserve"> </w:t>
      </w:r>
      <w:r>
        <w:rPr>
          <w:rFonts w:ascii="Times New Roman;serif" w:hAnsi="Times New Roman;serif"/>
          <w:b w:val="false"/>
          <w:color w:val="000000"/>
          <w:sz w:val="20"/>
        </w:rPr>
        <w:t xml:space="preserve">in connection with the PENN Development Projects as a result of our Master Development Agreement with GLPI (also discussed in </w:t>
      </w:r>
      <w:hyperlink w:anchor="ic1a494480e6146a1a6acab9187fe13be_181">
        <w:r>
          <w:rPr>
            <w:rStyle w:val="InternetLink"/>
            <w:rFonts w:ascii="Times New Roman;serif" w:hAnsi="Times New Roman;serif"/>
            <w:b w:val="false"/>
            <w:color w:val="0000FF"/>
            <w:sz w:val="20"/>
            <w:u w:val="single"/>
          </w:rPr>
          <w:t>Note 11, “Leases”</w:t>
        </w:r>
      </w:hyperlink>
      <w:r>
        <w:rPr>
          <w:rFonts w:ascii="Times New Roman;serif" w:hAnsi="Times New Roman;serif"/>
          <w:b w:val="false"/>
          <w:color w:val="000000"/>
          <w:sz w:val="20"/>
        </w:rPr>
        <w:t xml:space="preserve">), for which we received $280.0 million in funding from GLPI during the year ended December 31, 2025. We expect to incur additional capital expenditures in 2026 and 2027, and will receive up to $225.0 million in funding from GLPI for the Aurora Project.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Employee Benefit Plans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qualified retirement plan under the provisions of Section 401(k) of the Internal Revenue Code of 1986, as amended, which covers all eligible employees (the “PENN 401(k) Plan”). The PENN 401(k) Plan enables participating employees to defer a portion of their salary in a retirement fund to be administered by the Company. The Company makes a discretionary match contribution, where applicable, of 50% of employees’ elective salary deferrals, up to a maximum of 6% of eligible employee compensation. The matching contributions to the PENN 401(k) Plan for the years ended December 31, 2025, 2024, and 2023 were $14.9 million, $14.7 million, and $13.4 million,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 non-qualified deferred compensation plan (the “EDC Plan”) that covers most management and other highly-compensated employees. The EDC Plan was effective beginning March 1, 2001. The EDC Plan allows the participants to defer, on a pre-tax basis, a portion of their base annual salary and/or their annual bonus and earn tax-deferred earnings on these deferrals. The EDC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EDC Plan for the years ended December 31, 2025, 2024, and 2023 were $4.9 million, $4.7 million, and $4.3 million, respectively. Our deferred compensation liability, which is included in “Accrued expenses and other current liabilities” within the Consolidated Balance Sheets, was $119.3 million and $107.2 million as of December 31, 2025 and 2024,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Labor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have agreements with the horsemen at the majority of our racetracks to conduct our live racing and/or simulcasting activities. In addition, in order to operate gaming machines and table games in West Virginia, the Company must maintain agreements with each of the Charles Town horsemen, pari-mutuel clerks and breeders.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13—Income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tax effects of temporary differences between the Consolidated Financial Statements carrying amount of assets and liabilities and their respective tax basis, which are recorded at the prevailing enacted tax rate that will be in effect when these differences are settled or realized. These temporary differences result in taxable or deductible amounts in future years. The Company assessed all available positive and negative evidence to estimate whether sufficient future taxable income will be generated to realize our existing net deferred tax assets.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deferred tax assets and liabilities were as follows:</w:t>
      </w:r>
    </w:p>
    <w:tbl>
      <w:tblPr>
        <w:tblW w:w="7024" w:type="dxa"/>
        <w:jc w:val="left"/>
        <w:tblInd w:w="0" w:type="dxa"/>
        <w:tblLayout w:type="fixed"/>
        <w:tblCellMar>
          <w:top w:w="28" w:type="dxa"/>
          <w:left w:w="28" w:type="dxa"/>
          <w:bottom w:w="28" w:type="dxa"/>
          <w:right w:w="28" w:type="dxa"/>
        </w:tblCellMar>
      </w:tblPr>
      <w:tblGrid>
        <w:gridCol w:w="1723"/>
        <w:gridCol w:w="1513"/>
        <w:gridCol w:w="1518"/>
        <w:gridCol w:w="222"/>
        <w:gridCol w:w="618"/>
        <w:gridCol w:w="109"/>
        <w:gridCol w:w="109"/>
        <w:gridCol w:w="109"/>
        <w:gridCol w:w="109"/>
        <w:gridCol w:w="222"/>
        <w:gridCol w:w="618"/>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and operating leasing obligations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and advances to unconsolidated affiliates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on convertible notes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losses and tax credit carryforwards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loss carryforwards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limitation carryforwards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not subject to the Master Leases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subject to the Master Leases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liabilities, net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realizability of the net deferred tax assets is evaluated quarterly by assessing the need for a valuation allowance and by adjusting the amount of the allowance, if necessary. Pursuant to ASC 740, the Company considers all available (both quantitative and qualitative) positive and negative evidence including, but not limited to, statutory carryback periods, projected future taxable income, and feasible tax planning strategies that could be implemented as a source of positive evidence to realize the net deferred tax assets. In accordance with ASC 740, the most objectively verifiable form of evidence is to evaluate an entity’s three-year history of pre-tax book income or loss by jurisdiction. ASC 740 suggests that additional scrutiny should be given to deferred taxes of an entity with cumulative pre-tax book losses during the three most recent years and is considered significant negative evidence that is objectively verifiable and therefore, an entity would need sufficient quality and quantity to support a conclusion to overcome.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maintained a valuation allowance of $290.7 million as of December 31, 2025, against certain net deferred tax assets primarily related to (i) capital losses realized of $129.0 million, primarily related to the sale of Barstool; (ii) foreign jurisdictions that were in a three-year cumulative pre-tax loss position as of the balance sheet date of $112.2 million, inclusive of unrealized foreign currency translation adjustment; (iii) certain state net operating loss (“NOL”) carryforwards of $40.8 million; and (iv) other state deferred tax assets of $8.7 million. The Company intends to continue to maintain a valuation allowance on its net deferred tax assets until there is sufficient objectively verifiable positive evidence to support the realization of all or some portion of these deferred tax assets. In the event the Company determines that the deferred income tax assets would be realized in the future more than their net recorded amount, an adjustment to the valuation allowance would be recorded, which would reduce the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the following pre-tax carryforwards: (i) pre-tax U.S. federal NOL carryforwards of $191.6 million, of which $80.0 million will expire at various dates through 2037, and the residual being carried forward indefinitely; (ii) pre-tax foreign NOL carryforwards of $353.0 million that will expire through 2045; (iii) pre-tax capital losses of $514.1 million, the majority of which was generated from the Barstool divestiture and will expire in 2028; and (iv) pre-tax interest expense limitation carryforwards of $43.8 million that can be carried forward indefinitely. All acquired tax attributes are subject to limitations under the Internal Revenue Code and underlying Treasury Regulations.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also had $1.7 billion of pre-tax state NOL carryforwards, primarily generated in the Commonwealth of Pennsylvania, Colorado, Illinois, Indiana, Iowa, Louisiana, Maryland, Missouri, New Mexico, and localities within Ohio. The tax benefit associated with these NOL carryforwards was $73.8 million and a partial valuation allowance as mentioned above has been recorded due to negative evidence of certain statutory limitations and level of earnings projections in the respective jurisdictions. The majority of the state NOL carryforwards, existing as of December 31, 2025, will expire at various dates through December 31, 2045 with the remaining being carried forward indefinitely.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general, the Company has not recognized any U.S. tax expense on undistributed foreign earnings, as we intend to reinvest and expand into new markets outside the U.S. for the foreseeable future. If our intent changes or if these earnings are needed for our U.S. operations, we would be required to accrue and pay U.S. taxes on a portion or all of these undistributed earnings. It is not practicable to estimate the amount of deferred tax liability related to investments in these foreign subsidiaries. The undistributed foreign earnings were immaterial at December 31, 2025.</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domestic and foreign components of income (loss) before income taxes were as follows:</w:t>
      </w:r>
    </w:p>
    <w:tbl>
      <w:tblPr>
        <w:tblW w:w="4706" w:type="dxa"/>
        <w:jc w:val="left"/>
        <w:tblInd w:w="0" w:type="dxa"/>
        <w:tblLayout w:type="fixed"/>
        <w:tblCellMar>
          <w:top w:w="28" w:type="dxa"/>
          <w:left w:w="28" w:type="dxa"/>
          <w:bottom w:w="28" w:type="dxa"/>
          <w:right w:w="28" w:type="dxa"/>
        </w:tblCellMar>
      </w:tblPr>
      <w:tblGrid>
        <w:gridCol w:w="353"/>
        <w:gridCol w:w="310"/>
        <w:gridCol w:w="311"/>
        <w:gridCol w:w="211"/>
        <w:gridCol w:w="691"/>
        <w:gridCol w:w="109"/>
        <w:gridCol w:w="109"/>
        <w:gridCol w:w="109"/>
        <w:gridCol w:w="109"/>
        <w:gridCol w:w="211"/>
        <w:gridCol w:w="691"/>
        <w:gridCol w:w="109"/>
        <w:gridCol w:w="109"/>
        <w:gridCol w:w="109"/>
        <w:gridCol w:w="109"/>
        <w:gridCol w:w="211"/>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benefit (expense) were as follows: </w:t>
      </w:r>
    </w:p>
    <w:tbl>
      <w:tblPr>
        <w:tblW w:w="6356" w:type="dxa"/>
        <w:jc w:val="left"/>
        <w:tblInd w:w="0" w:type="dxa"/>
        <w:tblLayout w:type="fixed"/>
        <w:tblCellMar>
          <w:top w:w="28" w:type="dxa"/>
          <w:left w:w="28" w:type="dxa"/>
          <w:bottom w:w="28" w:type="dxa"/>
          <w:right w:w="28" w:type="dxa"/>
        </w:tblCellMar>
      </w:tblPr>
      <w:tblGrid>
        <w:gridCol w:w="1065"/>
        <w:gridCol w:w="936"/>
        <w:gridCol w:w="938"/>
        <w:gridCol w:w="211"/>
        <w:gridCol w:w="586"/>
        <w:gridCol w:w="109"/>
        <w:gridCol w:w="109"/>
        <w:gridCol w:w="109"/>
        <w:gridCol w:w="109"/>
        <w:gridCol w:w="211"/>
        <w:gridCol w:w="586"/>
        <w:gridCol w:w="109"/>
        <w:gridCol w:w="109"/>
        <w:gridCol w:w="109"/>
        <w:gridCol w:w="109"/>
        <w:gridCol w:w="211"/>
        <w:gridCol w:w="58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benefit (expense)</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benefit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the statutory federal income tax rate to the actual effective income tax rate, and related amounts of income tax benefit (expense):</w:t>
      </w:r>
    </w:p>
    <w:tbl>
      <w:tblPr>
        <w:tblW w:w="7449" w:type="dxa"/>
        <w:jc w:val="left"/>
        <w:tblInd w:w="0" w:type="dxa"/>
        <w:tblLayout w:type="fixed"/>
        <w:tblCellMar>
          <w:top w:w="28" w:type="dxa"/>
          <w:left w:w="28" w:type="dxa"/>
          <w:bottom w:w="28" w:type="dxa"/>
          <w:right w:w="28" w:type="dxa"/>
        </w:tblCellMar>
      </w:tblPr>
      <w:tblGrid>
        <w:gridCol w:w="1816"/>
        <w:gridCol w:w="1599"/>
        <w:gridCol w:w="1609"/>
        <w:gridCol w:w="211"/>
        <w:gridCol w:w="616"/>
        <w:gridCol w:w="109"/>
        <w:gridCol w:w="109"/>
        <w:gridCol w:w="109"/>
        <w:gridCol w:w="109"/>
        <w:gridCol w:w="344"/>
        <w:gridCol w:w="346"/>
        <w:gridCol w:w="472"/>
      </w:tblGrid>
      <w:tr>
        <w:trPr/>
        <w:tc>
          <w:tcPr>
            <w:tcW w:w="181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89" w:type="dxa"/>
            <w:gridSpan w:val="6"/>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 state and local income taxes, net of federal effect</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differential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change in unrecognized tax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2025, state and local income taxes in Louisiana and Pennsylvania represented the majority of domestic state and local income taxes, net of federal effect.</w:t>
      </w:r>
    </w:p>
    <w:tbl>
      <w:tblPr>
        <w:tblW w:w="7212" w:type="dxa"/>
        <w:jc w:val="left"/>
        <w:tblInd w:w="0" w:type="dxa"/>
        <w:tblLayout w:type="fixed"/>
        <w:tblCellMar>
          <w:top w:w="28" w:type="dxa"/>
          <w:left w:w="28" w:type="dxa"/>
          <w:bottom w:w="28" w:type="dxa"/>
          <w:right w:w="28" w:type="dxa"/>
        </w:tblCellMar>
      </w:tblPr>
      <w:tblGrid>
        <w:gridCol w:w="1547"/>
        <w:gridCol w:w="1357"/>
        <w:gridCol w:w="1370"/>
        <w:gridCol w:w="399"/>
        <w:gridCol w:w="206"/>
        <w:gridCol w:w="512"/>
        <w:gridCol w:w="206"/>
        <w:gridCol w:w="206"/>
        <w:gridCol w:w="206"/>
        <w:gridCol w:w="399"/>
        <w:gridCol w:w="206"/>
        <w:gridCol w:w="598"/>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tax rates)</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income</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benefits</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write-off</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unrecognized tax benefits is as follows:</w:t>
      </w:r>
    </w:p>
    <w:tbl>
      <w:tblPr>
        <w:tblW w:w="7048" w:type="dxa"/>
        <w:jc w:val="left"/>
        <w:tblInd w:w="0" w:type="dxa"/>
        <w:tblLayout w:type="fixed"/>
        <w:tblCellMar>
          <w:top w:w="28" w:type="dxa"/>
          <w:left w:w="28" w:type="dxa"/>
          <w:bottom w:w="28" w:type="dxa"/>
          <w:right w:w="28" w:type="dxa"/>
        </w:tblCellMar>
      </w:tblPr>
      <w:tblGrid>
        <w:gridCol w:w="1709"/>
        <w:gridCol w:w="1500"/>
        <w:gridCol w:w="1515"/>
        <w:gridCol w:w="559"/>
        <w:gridCol w:w="1355"/>
        <w:gridCol w:w="410"/>
      </w:tblGrid>
      <w:tr>
        <w:trPr/>
        <w:tc>
          <w:tcPr>
            <w:tcW w:w="17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Unrecognized tax benefits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January 1, 2023</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prior year positions</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settlements and/or reduction in reserves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December 31, 2023</w:t>
            </w:r>
          </w:p>
        </w:tc>
        <w:tc>
          <w:tcPr>
            <w:tcW w:w="1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prior year positions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settlements and/or reduction in reserves</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December 31, 2024</w:t>
            </w:r>
          </w:p>
        </w:tc>
        <w:tc>
          <w:tcPr>
            <w:tcW w:w="1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prior year positions</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settlements and/or reduction in reserves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December 31, 2025</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did not record any new tax reserves or accrued interest and penalties related to current year uncertain tax positions. Regarding prior year tax positions, we recorded $2.4 million of tax reserves and accrued interest and reversed $6.7 million of previously recorded tax reserves and accrued interest for uncertain tax positions. As of December 31, 2025 and 2024, unrecognized tax benefits, inclusive of accruals for income tax related interest and penalties, of $40.5 million and $44.8 million, respectively, were included in “Other long-term liabilities” within the Company’s Consolidated Balance Sheets. Overall, the Company recorded a net tax benefit of $3.4 million in connection with its uncertain tax positions for the year ended December 31,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liability for unrecognized tax benefits as of December 31, 2025 and 2024, included $32.0 million and $35.4 million, respectively, of tax positions that, if reversed, would affect the effective tax rate. We recognized expense of $0.2 million to interest and penalties, net of deferred taxes, as compared to income of $0.5 million and $0.2 million to interest and penalties, net of deferred taxes, for the years ended December 31, 2025, 2024 and 2023, respectively. We classify any income tax related penalties and interest accrued related to unrecognized tax benefits in “Income tax benefit (expense)” within the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currently in various stages of the examination process in connection with its open audits. Generally, it is difficult to determine when these examinations will be closed. As of December 31, 2025, the Company has open tax years 2022 through 2024 that could be subject to examination for U.S. federal income taxes. In addition, we are subject to state and local income tax examinations for various tax years in the taxing jurisdictions in which we operate. Such audits could result in increased tax liabilities and interest and penalties. While the Company believes its tax positions are appropriate, we cannot assure the outcome will remain consistent with our expectation. The Company believes we have adequately reserved for potential audit exposures of uncertain tax positions. In the event the final outcome of these matters is different than the amounts recorded, such differences will impact our income tax provision in the period in which the determination is made.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prepaid income taxes of $35.7 million and $31.9 million, respectively, were included in “Prepaid expenses” within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income taxes paid (refunds received), net was as follows:</w:t>
      </w:r>
    </w:p>
    <w:tbl>
      <w:tblPr>
        <w:tblW w:w="3763" w:type="dxa"/>
        <w:jc w:val="left"/>
        <w:tblInd w:w="0" w:type="dxa"/>
        <w:tblLayout w:type="fixed"/>
        <w:tblCellMar>
          <w:top w:w="28" w:type="dxa"/>
          <w:left w:w="28" w:type="dxa"/>
          <w:bottom w:w="28" w:type="dxa"/>
          <w:right w:w="28" w:type="dxa"/>
        </w:tblCellMar>
      </w:tblPr>
      <w:tblGrid>
        <w:gridCol w:w="701"/>
        <w:gridCol w:w="616"/>
        <w:gridCol w:w="617"/>
        <w:gridCol w:w="499"/>
        <w:gridCol w:w="963"/>
        <w:gridCol w:w="367"/>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December 31, 2025</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2024 and 2023, income tax refunds received, net was $3.8 million, and income taxes paid, net was $73.9 million, respectively. The Company’s policy is to record interest and penalties related to income tax matters, as part of income tax expense.</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Tax Legislation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 was enacted. The impacts were limited to timing differences, including bonus depreciation, accelerated research and experimental expenses, and utilization of interest carryforwards, with no material effect on the Company’s effective tax rate. The enactment lowered current year cash taxes, and the resulting current year federal net operating loss and tax credit carryforwards are expected to be fully utilized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14—Stockholders' Equity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Score Media and Gaming, Inc. (“theScore”) in October 2021, the Company issued 12,319,340 shares of PENN common stock with a par value of $0.01, and 697,539 par value $0.01 of exchangeable shares through the capital of an indirect wholly-owned subsidiary of PENN (“Exchangeable Shares”), in addition to cash consideration. Each Exchangeable Share is exchangeable into one share of PENN common stock at the option of the holder, subject to certain adjustments. Upon the acquisition of theScore, certain employees of theScore elected to have their outstanding equity awards, which were assumed under theScore plan (as defined below), issued as Exchangeable Shares, once the shares vest or are exercised. In addition, the Company may redeem all outstanding Exchangeable Shares in exchange for shares of PENN common stock at any time following the fifth anniversary of the closing, or earlier under certain circumstances.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did not issue Exchangeable Shares. During the years ended 2024, and 2023, we issued 68,048, and 2,854 Exchangeable Shares, respectively. As of both periods ended December 31, 2025 and 2024, there were 768,441 Exchangeable Shares authorized, of which 379,821 shares and 466,534 shares were outstanding,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conjunction with the February 2020 stock purchase agreement between PENN and Barstool, the Company issued 883 shares of non-voting convertible Series D Preferred Stock, par value $0.01, to certain individual stockholders affiliated with Barstool. The Series D Preferred stockholders were entitled to participate equally and ratably in all dividends and distributions paid to holders of PENN common stock based on the number of shares of PENN common stock into which such Series D Preferred Stock could convert. 1/1,000th of a share of Series D Preferred Stock was convertible into one share of PENN common stock. The Series D Preferred Stock was available for conversion into PENN common stock in tranches over four years.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February 17, 2023, as part of the Barstool Acquisition as discussed in </w:t>
      </w:r>
      <w:hyperlink w:anchor="ic1a494480e6146a1a6acab9187fe13be_160">
        <w:r>
          <w:rPr>
            <w:rStyle w:val="InternetLink"/>
            <w:rFonts w:ascii="Times New Roman;serif" w:hAnsi="Times New Roman;serif"/>
            <w:b w:val="false"/>
            <w:color w:val="0000FF"/>
            <w:sz w:val="20"/>
            <w:u w:val="single"/>
          </w:rPr>
          <w:t>Note 5, “Acquisitions and Dispositions,”</w:t>
        </w:r>
      </w:hyperlink>
      <w:r>
        <w:rPr>
          <w:color w:val="000000"/>
        </w:rPr>
        <w:t xml:space="preserve"> </w:t>
      </w:r>
      <w:r>
        <w:rPr>
          <w:rFonts w:ascii="Times New Roman;serif" w:hAnsi="Times New Roman;serif"/>
          <w:b w:val="false"/>
          <w:color w:val="000000"/>
          <w:sz w:val="20"/>
        </w:rPr>
        <w:t xml:space="preserve">the Company issued 2,442,809 shares of common stock with a par value of $0.01, to certain former stockholders of Barstool (the “Share Consideration”). The issuance of the Share Consideration was exempt from the registration requirements of the Securities Act of 1933, as amended, pursuant to Section 4(a)(2) thereof, because such issuance did not involve a public offering. The Share Consideration was subject to transfer restrictions which were waived on August 11, 2023, pursuant to the Barstool SPA. See </w:t>
      </w:r>
      <w:hyperlink w:anchor="ic1a494480e6146a1a6acab9187fe13be_160">
        <w:r>
          <w:rPr>
            <w:rStyle w:val="InternetLink"/>
            <w:rFonts w:ascii="Times New Roman;serif" w:hAnsi="Times New Roman;serif"/>
            <w:b w:val="false"/>
            <w:color w:val="0000FF"/>
            <w:sz w:val="20"/>
            <w:u w:val="single"/>
          </w:rPr>
          <w:t>Note 5, “Acquisitions and Dispositions”</w:t>
        </w:r>
      </w:hyperlink>
      <w:r>
        <w:rPr>
          <w:color w:val="000000"/>
        </w:rPr>
        <w:t xml:space="preserve"> </w:t>
      </w:r>
      <w:r>
        <w:rPr>
          <w:rFonts w:ascii="Times New Roman;serif" w:hAnsi="Times New Roman;serif"/>
          <w:b w:val="false"/>
          <w:color w:val="000000"/>
          <w:sz w:val="20"/>
        </w:rPr>
        <w:t>for additional information related to the Barstool SPA.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3, 2023, 227 shares of Series D Preferred Stock were converted to common stock. As a result of the conversion, the Company issued 226,800 shares of common stock with a par value of $0.01. Pursuant to the Barstool SPA, on August 11, 2023, all remaining 354 outstanding shares of Series D Preferred Stock were converted to common stock. As a result of the conversion, the Company issued 353,800 shares of common stock with a par value of $0.01. The issuances were exempt from registration pursuant to Section 4(a)(2) of the Securities Act.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both periods ended December 31, 2025 and 2024, there were 5,000 shares authorized of Series D Preferred Stock of which no shares were outstanding.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previously issued two series of preferred stock, Series B and Series C, each with a par value of $0.01 per share. As of both periods ended December 31, 2025 and 2024, there were 1,000,000 and 18,500 shares authorized of our Series B and Series C preferred stock, respectively. There were no shares outstanding of either Series B or Series C preferred stock as of both periods ended December 31, 2025 and 2024.</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Share Repurchase Authorization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1, 2022, the Board authorized a $750.0 million share repurchase program (the “February 2022 Authorization”). The repurchase authorization expired on January 31, 2025. On December 6, 2022, the Board authorized an additional $750.0 million share repurchase program (the “December 2022 Authorization”), which expired on December 31, 2025. On October 30, 2025, the Board approved a new $750.0 million share repurchase program, which commenced on January 1, 2026 and expires on December 31, 2028.</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20,090,831 shares of its common stock in open market transactions for $354.4 million at an average price of $17.64 per share under the December 2022 Authorization. No shares of the Company’s common stock were repurchased during the year ended December 31, 2024. During the year ended December 31, 2023, the Company repurchased 5,438,221 shares of its common stock in open market transactions for $149.8 million at an average price of $27.54 per share under the February 2022 and December 2022 Authorizations. The cost of all repurchased shares is recorded to “Treasury stock” within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15—Stock-Based Compensation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2022 Long Term Incentive Compensation Plan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7, 2022, the Company’s shareholders, upon the recommendation of the Board, approved the Company’s 2022 Long Term Incentive Compensation Plan (the “2022 Plan”). The 2022 Plan authorizes the Company to issue stock options (incentive and/or non-qualified), stock appreciation rights (“SARs”), restricted stock (shares and/or units), performance awards (shares and/or units), and cash awards to executive officers, non-employee directors, other employees, consultants, and advisors of the Company and its subsidiaries. Non-employee directors and consultants are eligible to receive all such awards, other than incentive stock options. Pursuant to the 2022 Plan, an initial 6,870,000 shares of the Company’s common stock were reserved for issuance, plus any shares of common stock subject to outstanding awards under both the previous 2018 Long Term Incentive Compensation Plan, as amended (“2018 Plan”) and Score Media and Gaming Inc. Second Amended and Restated Stock Option and Restricted Stock Unit Plan (the “theScore Plan”) as of June 7, 2022, and outstanding awards that are forfeited or settled for cash under each of the prior plans. In connection with the approval of the 2022 Plan, the 2018 Plan and theScore Plan remain in place until all the awards previously granted thereunder have been paid, forfeited, or expired. However, no shares are available for issuance and all future equity awards will be granted pursuant to the 2022 Plan.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2023, the Company’s shareholders, upon the recommendation of the Board, approved an amendment to the 2022 Plan (as amended, the “2022 Amended Plan”), which increased the number of shares reserved for issuance under the plan by 7,000,000 shares.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17, 2025, upon the recommendation of the Board, shareholders approved a second amendment to the 2022 Plan (as amended, the “2022 Plan – Second Amendment”). Among other changes, this amendment increased the total number of shares reserved for issuance to 22,067,275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the number of shares available for issuance under the 2022 Plan – Second Amendment, stock options, restricted stock, and all other equity settled awards count against the 22,067,275 share limit as one share of common stock for each share granted. Any awards that are not settled in shares of common stock are not counted against the share limit. As of December 31, 2025, there are 9,309,563 shares available for future grants under the 2022 Plan – Second Amendment.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pertains to our stock options and restricted stock, including restricted stock with performance and market conditions. For options, restricted stock, and performance awards, the expense is recognized ratably over the total requisite service period for the entire award, which is generally three to four years, based on the grant date fair value. We recognize forfeitures as they occur. For performance awards, the expense is adjusted based on the expectation of the achievement of the performance conditions. For awards with market conditions, we recognize the expense over the service period derived from the related valuation. The Company recognized $60.9 million, $52.9 million, and $85.9 million stock-based compensation expense for the years ended December 31, 2025, 2024, and 2023, respectively, which is included within the Consolidated Statements of Operations as a component of “General and administrative” expense.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are usually awarded to officers, directors and employees. The Company determines the grant date fair value of these options using the Black-Scholes option-pricing model. Typically, stock options are awarded with a ten-year contractual term. To fulfill stock option exercises, the Company issues new authorized common shares.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activity related to our stock options for the year ended December 31, 2025:</w:t>
      </w:r>
    </w:p>
    <w:tbl>
      <w:tblPr>
        <w:tblW w:w="10205" w:type="dxa"/>
        <w:jc w:val="left"/>
        <w:tblInd w:w="0" w:type="dxa"/>
        <w:tblLayout w:type="fixed"/>
        <w:tblCellMar>
          <w:top w:w="28" w:type="dxa"/>
          <w:left w:w="28" w:type="dxa"/>
          <w:bottom w:w="28" w:type="dxa"/>
          <w:right w:w="28" w:type="dxa"/>
        </w:tblCellMar>
      </w:tblPr>
      <w:tblGrid>
        <w:gridCol w:w="744"/>
        <w:gridCol w:w="589"/>
        <w:gridCol w:w="592"/>
        <w:gridCol w:w="670"/>
        <w:gridCol w:w="458"/>
        <w:gridCol w:w="459"/>
        <w:gridCol w:w="109"/>
        <w:gridCol w:w="109"/>
        <w:gridCol w:w="109"/>
        <w:gridCol w:w="565"/>
        <w:gridCol w:w="565"/>
        <w:gridCol w:w="566"/>
        <w:gridCol w:w="109"/>
        <w:gridCol w:w="109"/>
        <w:gridCol w:w="109"/>
        <w:gridCol w:w="772"/>
        <w:gridCol w:w="772"/>
        <w:gridCol w:w="773"/>
        <w:gridCol w:w="109"/>
        <w:gridCol w:w="109"/>
        <w:gridCol w:w="109"/>
        <w:gridCol w:w="496"/>
        <w:gridCol w:w="496"/>
        <w:gridCol w:w="707"/>
      </w:tblGrid>
      <w:tr>
        <w:trPr/>
        <w:tc>
          <w:tcPr>
            <w:tcW w:w="74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w:t>
              <w:br/>
              <w:t>Term</w:t>
              <w:br/>
              <w:t>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2025</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4,611,862 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810,502 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(30,701)</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5,186,549 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3,049,612 </w:t>
            </w:r>
          </w:p>
        </w:tc>
        <w:tc>
          <w:tcPr>
            <w:tcW w:w="4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vest as of December 31, 2025</w:t>
            </w:r>
          </w:p>
        </w:tc>
        <w:tc>
          <w:tcPr>
            <w:tcW w:w="11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2,136,937 </w:t>
            </w:r>
          </w:p>
        </w:tc>
        <w:tc>
          <w:tcPr>
            <w:tcW w:w="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related to the fair value and intrinsic value of our stock options:</w:t>
      </w:r>
    </w:p>
    <w:tbl>
      <w:tblPr>
        <w:tblW w:w="8628" w:type="dxa"/>
        <w:jc w:val="left"/>
        <w:tblInd w:w="0" w:type="dxa"/>
        <w:tblLayout w:type="fixed"/>
        <w:tblCellMar>
          <w:top w:w="28" w:type="dxa"/>
          <w:left w:w="28" w:type="dxa"/>
          <w:bottom w:w="28" w:type="dxa"/>
          <w:right w:w="28" w:type="dxa"/>
        </w:tblCellMar>
      </w:tblPr>
      <w:tblGrid>
        <w:gridCol w:w="1952"/>
        <w:gridCol w:w="1713"/>
        <w:gridCol w:w="1720"/>
        <w:gridCol w:w="244"/>
        <w:gridCol w:w="244"/>
        <w:gridCol w:w="190"/>
        <w:gridCol w:w="190"/>
        <w:gridCol w:w="190"/>
        <w:gridCol w:w="190"/>
        <w:gridCol w:w="244"/>
        <w:gridCol w:w="244"/>
        <w:gridCol w:w="190"/>
        <w:gridCol w:w="190"/>
        <w:gridCol w:w="190"/>
        <w:gridCol w:w="190"/>
        <w:gridCol w:w="239"/>
        <w:gridCol w:w="239"/>
        <w:gridCol w:w="269"/>
      </w:tblGrid>
      <w:tr>
        <w:trPr/>
        <w:tc>
          <w:tcPr>
            <w:tcW w:w="195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grant-date fair value of options</w:t>
            </w:r>
          </w:p>
        </w:tc>
        <w:tc>
          <w:tcPr>
            <w:tcW w:w="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intrinsic value of stock options exercised (in millions)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stock options vested (in millions)</w:t>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unamortized compensation costs not yet recognized related to stock options granted totaled $19.8 million and the weighted-average period over which the costs are expected to be recognized was 1.4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assumptions used in the Black-Scholes option-pricing model:</w:t>
      </w:r>
    </w:p>
    <w:tbl>
      <w:tblPr>
        <w:tblW w:w="7393" w:type="dxa"/>
        <w:jc w:val="left"/>
        <w:tblInd w:w="0" w:type="dxa"/>
        <w:tblLayout w:type="fixed"/>
        <w:tblCellMar>
          <w:top w:w="28" w:type="dxa"/>
          <w:left w:w="28" w:type="dxa"/>
          <w:bottom w:w="28" w:type="dxa"/>
          <w:right w:w="28" w:type="dxa"/>
        </w:tblCellMar>
      </w:tblPr>
      <w:tblGrid>
        <w:gridCol w:w="1266"/>
        <w:gridCol w:w="1110"/>
        <w:gridCol w:w="1118"/>
        <w:gridCol w:w="352"/>
        <w:gridCol w:w="264"/>
        <w:gridCol w:w="367"/>
        <w:gridCol w:w="148"/>
        <w:gridCol w:w="148"/>
        <w:gridCol w:w="148"/>
        <w:gridCol w:w="352"/>
        <w:gridCol w:w="264"/>
        <w:gridCol w:w="367"/>
        <w:gridCol w:w="148"/>
        <w:gridCol w:w="148"/>
        <w:gridCol w:w="148"/>
        <w:gridCol w:w="352"/>
        <w:gridCol w:w="264"/>
        <w:gridCol w:w="429"/>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 yield</w:t>
            </w:r>
            <w:r>
              <w:rPr>
                <w:color w:val="000000"/>
              </w:rPr>
              <w:t xml:space="preserve"> </w:t>
            </w:r>
            <w:r>
              <w:rPr>
                <w:rFonts w:ascii="Times New Roman;serif" w:hAnsi="Times New Roman;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life (in years)</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expected dividend yield is zero, as the Company has not historically paid dividends.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Restricted Stock Awards and Restricted Stock Units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noted above, the Company grants restricted stock to our employees and certain non-employee directors. In addition, the Company issues its named executive officers (“NEOs”) and other key executives restricted stock with performance and market conditions, which are discussed in further detail below. The grant date fair value for restricted stock is generally based on the closing stock price of the Company’s shares of common stock on the trading day preceding the grant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12, 2021, the Board granted 600,000 restricted stock units and 300,000 restricted stock awards with market-based and service-based vesting conditions (collectively the “Stock Awards”), solely to the Company’s Chief Executive Officer and President pursuant to the 2018 Plan. The Stock Awards were classified as equity with separate tranches and requisite service periods identified for each separately achievable component. As of the grant date, the fair value of the Stock Awards was $48.7 million and was calculated using a Monte Carlo simulation. The fair value of the restricted stock awards was estimated at $19.4 million and segregated into 15 tranches with expense recognition periods ranging from 2.2 to 6.0 years. The fair value of the restricted stock units was estimated at $29.3 million and segregated into four tranches with expense recognition periods ranging from 6.7 to 8.7 years. We recognized $5.8 million, $7.4 million, and $8.4 million of stock compensation expense for the Stock Awards during the years ended December 31, 2025, 2024, and 2023, respectively. The market-based conditions associated with the Stock Awards were not achieved by December 31, 2025; therefore, in accordance with the terms of the agreement, all Stock Awards were forfeited as of that date.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Performance Share Programs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performance share programs were adopted to provide our NEOs and certain other key executives with stock-based compensation tied directly to the Company’s performance, which further aligns their interests with our shareholders and provides compensation only if the designated performance goals are met for the applicable performance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granted 1,254,323 and 1,317,269 restricted units with performance-based vesting conditions, at target, during the years ended December 31, 2025 and 2024, respectively. The restricted performance units were granted under the 2022 Amended Plan, and each grant consists of one three-year performance period over a three-year service period. The awards have the potential to be earned at between 0% and 200% of the number of shares granted depending on achievement of the performance goals, and remain subject to vesting for the full three-year service period.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granted 461,747 restricted units with performance-based vesting conditions, at target, under the 2022 Plan. The restricted performance units granted in 2023 consist of three one-year performance periods over a three-year service period. The awards have the potential to be earned at between 0% and 150% of the number of shares granted depending on achievement of the annual performance goals, and remain subject to vesting for the full three-year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activity related to our restricted stock for the year ended December 31, 2025:</w:t>
      </w:r>
    </w:p>
    <w:tbl>
      <w:tblPr>
        <w:tblW w:w="10205" w:type="dxa"/>
        <w:jc w:val="left"/>
        <w:tblInd w:w="0" w:type="dxa"/>
        <w:tblLayout w:type="fixed"/>
        <w:tblCellMar>
          <w:top w:w="28" w:type="dxa"/>
          <w:left w:w="28" w:type="dxa"/>
          <w:bottom w:w="28" w:type="dxa"/>
          <w:right w:w="28" w:type="dxa"/>
        </w:tblCellMar>
      </w:tblPr>
      <w:tblGrid>
        <w:gridCol w:w="789"/>
        <w:gridCol w:w="563"/>
        <w:gridCol w:w="566"/>
        <w:gridCol w:w="506"/>
        <w:gridCol w:w="507"/>
        <w:gridCol w:w="351"/>
        <w:gridCol w:w="195"/>
        <w:gridCol w:w="195"/>
        <w:gridCol w:w="195"/>
        <w:gridCol w:w="669"/>
        <w:gridCol w:w="669"/>
        <w:gridCol w:w="677"/>
        <w:gridCol w:w="109"/>
        <w:gridCol w:w="109"/>
        <w:gridCol w:w="109"/>
        <w:gridCol w:w="488"/>
        <w:gridCol w:w="488"/>
        <w:gridCol w:w="351"/>
        <w:gridCol w:w="201"/>
        <w:gridCol w:w="201"/>
        <w:gridCol w:w="201"/>
        <w:gridCol w:w="602"/>
        <w:gridCol w:w="602"/>
        <w:gridCol w:w="862"/>
      </w:tblGrid>
      <w:tr>
        <w:trPr/>
        <w:tc>
          <w:tcPr>
            <w:tcW w:w="78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 Performance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Without Performance Conditions</w:t>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w:t>
              <w:br/>
              <w:t>Shares</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w:t>
              <w:br/>
              <w:t>Shares</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as of January 1, 2025</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2,995,735 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2,509,623 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1,569,647 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2,762,449 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(907,738)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(1,081,198)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(893,265)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0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3,246,438 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3,471,069 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unamortized compensation costs not yet recognized related to restricted stock totaled $65.8 million and the weighted-average period over which the costs are expected to be recognized is 1.5 years. The total fair values of restricted stock that vested during the years ended December 31, 2025, 2024, and 2023 were $33.8 million, $38.3 million, and $57.2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16—Loss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recorded a net loss attributable to PENN for the years ended December 31, 2025, 2024, and 2023. As such, the dilution from potential common shares was anti-dilutive, and therefore, we used basic weighted-average common shares outstanding rather than diluted weighted-average common shares outstanding when calculating diluted loss per share. Stock options, restricted stock, convertible preferred shares, and convertible debt that could potentially dilute basic EPS in the future, that were not included in the computation of diluted loss per share, are as follows:</w:t>
      </w:r>
    </w:p>
    <w:tbl>
      <w:tblPr>
        <w:tblW w:w="7506" w:type="dxa"/>
        <w:jc w:val="left"/>
        <w:tblInd w:w="0" w:type="dxa"/>
        <w:tblLayout w:type="fixed"/>
        <w:tblCellMar>
          <w:top w:w="28" w:type="dxa"/>
          <w:left w:w="28" w:type="dxa"/>
          <w:bottom w:w="28" w:type="dxa"/>
          <w:right w:w="28" w:type="dxa"/>
        </w:tblCellMar>
      </w:tblPr>
      <w:tblGrid>
        <w:gridCol w:w="1554"/>
        <w:gridCol w:w="1361"/>
        <w:gridCol w:w="1374"/>
        <w:gridCol w:w="203"/>
        <w:gridCol w:w="203"/>
        <w:gridCol w:w="190"/>
        <w:gridCol w:w="190"/>
        <w:gridCol w:w="190"/>
        <w:gridCol w:w="190"/>
        <w:gridCol w:w="255"/>
        <w:gridCol w:w="256"/>
        <w:gridCol w:w="190"/>
        <w:gridCol w:w="190"/>
        <w:gridCol w:w="190"/>
        <w:gridCol w:w="190"/>
        <w:gridCol w:w="255"/>
        <w:gridCol w:w="256"/>
        <w:gridCol w:w="269"/>
      </w:tblGrid>
      <w:tr>
        <w:trPr/>
        <w:tc>
          <w:tcPr>
            <w:tcW w:w="15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Assumed conversion of dilutive stock options </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restricted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convertible preferred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convertible debt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recorded a net loss for the years ended December 31, 2025, 2024, and 2023, there are no reconciling items between the weighted-average common shares outstanding for basic and diluted EPS calculations.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stock with performance and market based vesting conditions that have not been met as of December 31, 2025 were excluded from the computation of diluted EPS.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Anti-dilutive equity-based awards are excluded from the computation of diluted EPS, and primarily consists of stock options awarded under the Company’s previous and current long-term incentive compensation plans and warrants previously issued under the terms of the Investment Agreement. Pursuant to the Investment Agreement Amendment, the Initial Warrants were deemed vested through and including February 8, 2026, and the remaining unvested warrants were forfeited and cancelled for no consideration. See </w:t>
      </w:r>
      <w:hyperlink w:anchor="ic1a494480e6146a1a6acab9187fe13be_187">
        <w:r>
          <w:rPr>
            <w:rStyle w:val="InternetLink"/>
            <w:rFonts w:ascii="Times New Roman;serif" w:hAnsi="Times New Roman;serif"/>
            <w:b w:val="false"/>
            <w:color w:val="0000FF"/>
            <w:sz w:val="20"/>
            <w:u w:val="single"/>
          </w:rPr>
          <w:t>Note 12, “Commitments and Contingencies.”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Anti-dilutive options and warrants to purchase 33.2 million, 35.1 million, and 14.5 million shares were outstanding during each of the years ended December 31, 2025, 2024, and 2023, but were not included in the computation of diluted EPS because they were anti-dilutive.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assumed conversion of 0.3 million preferred shares were excluded from the computation of diluted EPS for the year ended December 31, 2023 because including them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The Company’s calculation of weighted-average common shares outstanding includes the Exchangeable Shares issued in connection with theScore acquisition, as discussed in </w:t>
      </w:r>
      <w:hyperlink w:anchor="ic1a494480e6146a1a6acab9187fe13be_193">
        <w:r>
          <w:rPr>
            <w:rStyle w:val="InternetLink"/>
            <w:rFonts w:ascii="Times New Roman;serif" w:hAnsi="Times New Roman;serif"/>
            <w:b w:val="false"/>
            <w:color w:val="0000FF"/>
            <w:sz w:val="20"/>
            <w:u w:val="single"/>
          </w:rPr>
          <w:t>Note 14, “Stockholders’ Equity.”</w:t>
        </w:r>
      </w:hyperlink>
      <w:r>
        <w:rPr>
          <w:color w:val="000000"/>
        </w:rPr>
        <w:t xml:space="preserve"> </w:t>
      </w:r>
      <w:r>
        <w:rPr>
          <w:rFonts w:ascii="Times New Roman;serif" w:hAnsi="Times New Roman;serif"/>
          <w:b w:val="false"/>
          <w:color w:val="000000"/>
          <w:sz w:val="20"/>
        </w:rPr>
        <w:t>The following table presents the calculation of basic and diluted loss per share for the Company’s common stock for the years ended December 31, 2025, 2024, and 2023:</w:t>
      </w:r>
    </w:p>
    <w:tbl>
      <w:tblPr>
        <w:tblW w:w="9132" w:type="dxa"/>
        <w:jc w:val="left"/>
        <w:tblInd w:w="0" w:type="dxa"/>
        <w:tblLayout w:type="fixed"/>
        <w:tblCellMar>
          <w:top w:w="28" w:type="dxa"/>
          <w:left w:w="28" w:type="dxa"/>
          <w:bottom w:w="28" w:type="dxa"/>
          <w:right w:w="28" w:type="dxa"/>
        </w:tblCellMar>
      </w:tblPr>
      <w:tblGrid>
        <w:gridCol w:w="1955"/>
        <w:gridCol w:w="1713"/>
        <w:gridCol w:w="1732"/>
        <w:gridCol w:w="211"/>
        <w:gridCol w:w="691"/>
        <w:gridCol w:w="109"/>
        <w:gridCol w:w="109"/>
        <w:gridCol w:w="109"/>
        <w:gridCol w:w="109"/>
        <w:gridCol w:w="211"/>
        <w:gridCol w:w="691"/>
        <w:gridCol w:w="109"/>
        <w:gridCol w:w="109"/>
        <w:gridCol w:w="109"/>
        <w:gridCol w:w="109"/>
        <w:gridCol w:w="211"/>
        <w:gridCol w:w="691"/>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basic loss per share: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PENN Entertainment, Inc.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Exchangeable Shares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diluted loss per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17—Segment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VGT operations, by state, to be separate operating segments.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retail segments primarily generate revenue from gaming operations (such as slot machines and table games), food and beverage offerings, and hotel visitation. The accounting policies of our retail segments are the same as those described in our significant accounting policies. See </w:t>
      </w:r>
      <w:hyperlink w:anchor="ic1a494480e6146a1a6acab9187fe13be_148">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 includes all of our online gaming operations, management of retail sports betting, and media operations. The accounting policies of our Interactive segment are the same as those described in our significant accounting policies. See </w:t>
      </w:r>
      <w:hyperlink w:anchor="ic1a494480e6146a1a6acab9187fe13be_148">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 xml:space="preserve">for further information. Additionally, the Interactive segment included the operating results of Barstool subsequent to the Barstool Acquisition on February 17, 2023 and prior to the Barstool divestiture on August 8, 2023 (as discussed in </w:t>
      </w:r>
      <w:hyperlink w:anchor="ic1a494480e6146a1a6acab9187fe13be_160">
        <w:r>
          <w:rPr>
            <w:rStyle w:val="InternetLink"/>
            <w:rFonts w:ascii="Times New Roman;serif" w:hAnsi="Times New Roman;serif"/>
            <w:b w:val="false"/>
            <w:color w:val="0000FF"/>
            <w:sz w:val="20"/>
            <w:u w:val="single"/>
          </w:rPr>
          <w:t>Note 5, “Acquisitions and Dispositions”</w:t>
        </w:r>
      </w:hyperlink>
      <w:r>
        <w:rPr>
          <w:rFonts w:ascii="Times New Roman;serif" w:hAnsi="Times New Roman;serif"/>
          <w:b w:val="false"/>
          <w:color w:val="000000"/>
          <w:sz w:val="20"/>
        </w:rPr>
        <w:t>) as well as our 36% proportionate share of Barstool’s net loss during the period January 1, 2023 through February 16, 2023.</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The Other category, </w:t>
      </w:r>
      <w:r>
        <w:rPr>
          <w:rFonts w:ascii="Times New Roman;serif" w:hAnsi="Times New Roman;serif"/>
          <w:b w:val="false"/>
          <w:color w:val="000000"/>
          <w:sz w:val="20"/>
        </w:rPr>
        <w:t>included in the tables to reconcile the segment information to the consolidated information,</w:t>
      </w:r>
      <w:r>
        <w:rPr>
          <w:color w:val="000000"/>
          <w:shd w:fill="FFFFFF" w:val="clear"/>
        </w:rPr>
        <w:t xml:space="preserve"> </w:t>
      </w:r>
      <w:r>
        <w:rPr>
          <w:rFonts w:ascii="Times New Roman;serif" w:hAnsi="Times New Roman;serif"/>
          <w:b w:val="false"/>
          <w:color w:val="000000"/>
          <w:sz w:val="20"/>
          <w:shd w:fill="FFFFFF" w:val="clear"/>
        </w:rPr>
        <w:t xml:space="preserve">consists of our stand-alone racing operations, namely Sanford-Orlando Kennel Club, Sam Houston and Valley Race Park, the Company’s </w:t>
      </w:r>
      <w:r>
        <w:rPr>
          <w:rFonts w:ascii="Times New Roman;serif" w:hAnsi="Times New Roman;serif"/>
          <w:b w:val="false"/>
          <w:color w:val="000000"/>
          <w:sz w:val="20"/>
        </w:rPr>
        <w:t xml:space="preserve">joint venture interest in Freehold Raceway (which ceased operations on December 28, 2024), </w:t>
      </w:r>
      <w:r>
        <w:rPr>
          <w:rFonts w:ascii="Times New Roman;serif" w:hAnsi="Times New Roman;serif"/>
          <w:b w:val="false"/>
          <w:color w:val="000000"/>
          <w:sz w:val="20"/>
          <w:shd w:fill="FFFFFF" w:val="clear"/>
        </w:rPr>
        <w:t>and our management contract for Retama Park Racetrack. The Other category also includes corporate overhead expenses, which consist of certain expenses, such as: payroll, professional fees, travel expenses, and other general and administrative expenses that have not otherwise been allocated.</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(“CODM”) is the Chief Executive Officer and President. Segment Adjusted EBITDAR (as defined below) is our measure of segment profit or loss for each segment and is utilized by the CODM as follows: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 xml:space="preserve">within the annual budget and forecasting process when making decisions about the allocation of operating and capital resources to each segment;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evaluate monthly budget-to-actual variances which are used in assessing segment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determine whether to reinvest profits into the segment or into other parts of the Company, such as new development projects, return generating investments in our retail operations and Interactive segment;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shd w:fill="FFFFFF" w:val="clear"/>
        </w:rPr>
        <w:t>to determine various capital allocation initiatives such as mergers and acquisitions, share repurchases, and delevering.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our revenues, expenses, and Segment Adjusted EBITDAR and provide a reconciliation to net loss.</w:t>
      </w:r>
    </w:p>
    <w:tbl>
      <w:tblPr>
        <w:tblW w:w="11963"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80"/>
        <w:gridCol w:w="700"/>
        <w:gridCol w:w="146"/>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6" w:type="dxa"/>
        <w:jc w:val="left"/>
        <w:tblInd w:w="0" w:type="dxa"/>
        <w:tblLayout w:type="fixed"/>
        <w:tblCellMar>
          <w:top w:w="28" w:type="dxa"/>
          <w:left w:w="28" w:type="dxa"/>
          <w:bottom w:w="28" w:type="dxa"/>
          <w:right w:w="28" w:type="dxa"/>
        </w:tblCellMar>
      </w:tblPr>
      <w:tblGrid>
        <w:gridCol w:w="1887"/>
        <w:gridCol w:w="1661"/>
        <w:gridCol w:w="1672"/>
        <w:gridCol w:w="211"/>
        <w:gridCol w:w="69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(8)</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REIT transactions,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financing arrangement</w:t>
            </w:r>
            <w:r>
              <w:rPr>
                <w:color w:val="000000"/>
              </w:rPr>
              <w:t xml:space="preserve"> </w:t>
            </w:r>
            <w:r>
              <w:rPr>
                <w:rFonts w:ascii="Times New Roman;serif" w:hAnsi="Times New Roman;serif"/>
                <w:b w:val="false"/>
                <w:color w:val="000000"/>
                <w:sz w:val="13"/>
              </w:rPr>
              <w:t>(10)</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(1)Revenues and gaming taxes expense within the Interactive segment are inclusive of gaming tax reimbursement amounts related to third-party OSB and/or iCasino partners for OSB and iCasino market access of $588.3 million for the year ended December 31,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$155.6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$57.1 million</w:t>
      </w:r>
      <w:r>
        <w:rPr>
          <w:color w:val="000000"/>
        </w:rPr>
        <w:t xml:space="preserve"> </w:t>
      </w:r>
      <w:r>
        <w:rPr>
          <w:rFonts w:ascii="Times New Roman;serif" w:hAnsi="Times New Roman;serif"/>
          <w:b w:val="false"/>
          <w:color w:val="000000"/>
          <w:sz w:val="16"/>
        </w:rPr>
        <w:t>related to the Investment Agreement with ESPN. Also, includes advertising and media expenses across various platforms for theScore BET and its launch in the US following the termination of the Sportsbook Agreement. Such platforms include television, radio, out-of-home, social media,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(6)Primarily represents corporate overhead expenses of </w:t>
      </w:r>
      <w:r>
        <w:rPr>
          <w:rFonts w:ascii="Times New Roman;serif" w:hAnsi="Times New Roman;serif"/>
          <w:b w:val="false"/>
          <w:color w:val="000000"/>
          <w:sz w:val="16"/>
          <w:shd w:fill="FFFFFF" w:val="clear"/>
        </w:rPr>
        <w:t>$134.8 million</w:t>
      </w:r>
      <w:r>
        <w:rPr>
          <w:color w:val="000000"/>
        </w:rPr>
        <w:t xml:space="preserve"> </w:t>
      </w:r>
      <w:r>
        <w:rPr>
          <w:rFonts w:ascii="Times New Roman;serif" w:hAnsi="Times New Roman;serif"/>
          <w:b w:val="false"/>
          <w:color w:val="000000"/>
          <w:sz w:val="16"/>
        </w:rPr>
        <w:t>for the year ended December 31, 2025, which is inclusive of $22.4 million of legal and advisory costs related to activist activity in connection with our 2025 Annual Meeting.</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(prior to December 4, 2025); (iv) Greektown Lease (prior to December 4, 2025); and (v) VICI Master Lease (beginning December 4, 2025).</w:t>
      </w:r>
    </w:p>
    <w:p>
      <w:pPr>
        <w:pStyle w:val="TextBody"/>
        <w:bidi w:val="0"/>
        <w:spacing w:lineRule="auto" w:line="288" w:before="0" w:after="60"/>
        <w:ind w:left="0" w:right="0" w:hanging="360"/>
        <w:jc w:val="left"/>
        <w:rPr/>
      </w:pPr>
      <w:r>
        <w:rPr>
          <w:rFonts w:ascii="Times New Roman;serif" w:hAnsi="Times New Roman;serif"/>
          <w:b w:val="false"/>
          <w:color w:val="212529"/>
          <w:sz w:val="16"/>
        </w:rPr>
        <w:t>(8)</w:t>
      </w:r>
      <w:r>
        <w:rPr>
          <w:rFonts w:ascii="Times New Roman;serif" w:hAnsi="Times New Roman;serif"/>
          <w:b w:val="false"/>
          <w:color w:val="000000"/>
          <w:sz w:val="16"/>
        </w:rPr>
        <w:t xml:space="preserve">Impairment charges of $120.3 million and $825.0 million relate to our retail segments and Interactive segment, respectively. See </w:t>
      </w:r>
      <w:hyperlink w:anchor="ic1a494480e6146a1a6acab9187fe13be_169">
        <w:r>
          <w:rPr>
            <w:rStyle w:val="InternetLink"/>
            <w:rFonts w:ascii="Times New Roman;serif" w:hAnsi="Times New Roman;serif"/>
            <w:b w:val="false"/>
            <w:color w:val="0000FF"/>
            <w:sz w:val="16"/>
            <w:u w:val="single"/>
          </w:rPr>
          <w:t>Note 8, “Goodwill and Other Intangible Assets.”</w:t>
        </w:r>
      </w:hyperlink>
    </w:p>
    <w:p>
      <w:pPr>
        <w:pStyle w:val="TextBody"/>
        <w:bidi w:val="0"/>
        <w:spacing w:lineRule="auto" w:line="288" w:before="0" w:after="60"/>
        <w:ind w:left="0" w:right="0" w:hanging="360"/>
        <w:jc w:val="left"/>
        <w:rPr/>
      </w:pPr>
      <w:r>
        <w:rPr>
          <w:rFonts w:ascii="Times New Roman;serif" w:hAnsi="Times New Roman;serif"/>
          <w:b w:val="false"/>
          <w:color w:val="212529"/>
          <w:sz w:val="16"/>
        </w:rPr>
        <w:t>(9)</w:t>
      </w:r>
      <w:r>
        <w:rPr>
          <w:rFonts w:ascii="Times New Roman;serif" w:hAnsi="Times New Roman;serif"/>
          <w:b w:val="false"/>
          <w:color w:val="000000"/>
          <w:sz w:val="16"/>
        </w:rPr>
        <w:t>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212529"/>
          <w:sz w:val="16"/>
        </w:rPr>
        <w:t xml:space="preserve">(10)Relates to the </w:t>
      </w:r>
      <w:r>
        <w:rPr>
          <w:rFonts w:ascii="Times New Roman;serif" w:hAnsi="Times New Roman;serif"/>
          <w:b w:val="false"/>
          <w:color w:val="000000"/>
          <w:sz w:val="16"/>
          <w:shd w:fill="FFFFFF" w:val="clear"/>
        </w:rPr>
        <w:t>$215.1 million</w:t>
      </w:r>
      <w:r>
        <w:rPr>
          <w:color w:val="000000"/>
        </w:rPr>
        <w:t xml:space="preserve"> </w:t>
      </w:r>
      <w:r>
        <w:rPr>
          <w:rFonts w:ascii="Times New Roman;serif" w:hAnsi="Times New Roman;serif"/>
          <w:b w:val="false"/>
          <w:color w:val="000000"/>
          <w:sz w:val="16"/>
        </w:rPr>
        <w:t xml:space="preserve">non-cash gain on financing arrangement. See </w:t>
      </w:r>
      <w:hyperlink w:anchor="ic1a494480e6146a1a6acab9187fe13be_175">
        <w:r>
          <w:rPr>
            <w:rStyle w:val="InternetLink"/>
            <w:rFonts w:ascii="Times New Roman;serif" w:hAnsi="Times New Roman;serif"/>
            <w:b w:val="false"/>
            <w:color w:val="0000FF"/>
            <w:sz w:val="16"/>
            <w:u w:val="single"/>
          </w:rPr>
          <w:t>Note 10, “Long-Term Debt.”</w:t>
        </w:r>
      </w:hyperlink>
    </w:p>
    <w:tbl>
      <w:tblPr>
        <w:tblW w:w="11828"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31"/>
        <w:gridCol w:w="109"/>
        <w:gridCol w:w="109"/>
        <w:gridCol w:w="109"/>
        <w:gridCol w:w="109"/>
        <w:gridCol w:w="211"/>
        <w:gridCol w:w="511"/>
        <w:gridCol w:w="109"/>
        <w:gridCol w:w="109"/>
        <w:gridCol w:w="109"/>
        <w:gridCol w:w="109"/>
        <w:gridCol w:w="280"/>
        <w:gridCol w:w="700"/>
        <w:gridCol w:w="146"/>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6" w:type="dxa"/>
        <w:jc w:val="left"/>
        <w:tblInd w:w="0" w:type="dxa"/>
        <w:tblLayout w:type="fixed"/>
        <w:tblCellMar>
          <w:top w:w="28" w:type="dxa"/>
          <w:left w:w="28" w:type="dxa"/>
          <w:bottom w:w="28" w:type="dxa"/>
          <w:right w:w="28" w:type="dxa"/>
        </w:tblCellMar>
      </w:tblPr>
      <w:tblGrid>
        <w:gridCol w:w="1887"/>
        <w:gridCol w:w="1661"/>
        <w:gridCol w:w="1672"/>
        <w:gridCol w:w="211"/>
        <w:gridCol w:w="69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(8)</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(10)</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(1)Revenues and gaming taxes expense within the Interactive segment are inclusive of gaming tax reimbursement amounts related to third-party OSB and/or iCasino partners for OSB and iCasino market access of $435.6 million for the year ended December 31,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$179.2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$67.9 million</w:t>
      </w:r>
      <w:r>
        <w:rPr>
          <w:color w:val="000000"/>
        </w:rPr>
        <w:t xml:space="preserve"> </w:t>
      </w:r>
      <w:r>
        <w:rPr>
          <w:rFonts w:ascii="Times New Roman;serif" w:hAnsi="Times New Roman;serif"/>
          <w:b w:val="false"/>
          <w:color w:val="000000"/>
          <w:sz w:val="16"/>
        </w:rPr>
        <w:t>related to the Investment Agreement with ESPN. While the Sportsbook Agreement and Investment Agreement commenced on August 8, 2023, the Company began recognizing advertising expense, specific to the initial annual period, during the fourth quarter of 2023. Also, includes advertising and media expenses (including such expenses associated with theScore) across various platforms, including television, radio, out-of-home, social media, and both paid and organic search, and sponsorships and media costs associated with partnerships with major sports leagues, and other professional sports teams.</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(6)Primarily represents corporate overhead expenses of </w:t>
      </w:r>
      <w:r>
        <w:rPr>
          <w:rFonts w:ascii="Times New Roman;serif" w:hAnsi="Times New Roman;serif"/>
          <w:b w:val="false"/>
          <w:color w:val="000000"/>
          <w:sz w:val="16"/>
          <w:shd w:fill="FFFFFF" w:val="clear"/>
        </w:rPr>
        <w:t>$104.8 million for the year ended December 31, 2024.</w:t>
      </w:r>
    </w:p>
    <w:p>
      <w:pPr>
        <w:pStyle w:val="TextBody"/>
        <w:bidi w:val="0"/>
        <w:spacing w:lineRule="auto" w:line="288" w:before="0" w:after="6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(7)Pertains to the following operating leases: (i) AR PENN Master Lease; (ii) 2023 Master Lease; (iii) Margaritaville Lease; and (iv) Greektown Lease.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(8)Impairment charges of $67.0 million, $15.9 million, and $6.2 million relate to the Northeast, South, and Midwest seg</w:t>
      </w:r>
      <w:r>
        <w:rPr>
          <w:rFonts w:ascii="Times New Roman;serif" w:hAnsi="Times New Roman;serif"/>
          <w:b w:val="false"/>
          <w:color w:val="000000"/>
          <w:sz w:val="16"/>
        </w:rPr>
        <w:t xml:space="preserve">ments, respectively. See </w:t>
      </w:r>
      <w:hyperlink w:anchor="ic1a494480e6146a1a6acab9187fe13be_169">
        <w:r>
          <w:rPr>
            <w:rStyle w:val="InternetLink"/>
            <w:rFonts w:ascii="Times New Roman;serif" w:hAnsi="Times New Roman;serif"/>
            <w:b w:val="false"/>
            <w:color w:val="0000FF"/>
            <w:sz w:val="16"/>
            <w:u w:val="single"/>
          </w:rPr>
          <w:t>Note 8, “Goodwill and Other Intangible Assets.”</w:t>
        </w:r>
      </w:hyperlink>
    </w:p>
    <w:p>
      <w:pPr>
        <w:pStyle w:val="TextBody"/>
        <w:bidi w:val="0"/>
        <w:spacing w:lineRule="auto" w:line="288" w:before="0" w:after="60"/>
        <w:ind w:left="0" w:right="0" w:hanging="360"/>
        <w:jc w:val="left"/>
        <w:rPr/>
      </w:pPr>
      <w:r>
        <w:rPr>
          <w:rFonts w:ascii="Times New Roman;serif" w:hAnsi="Times New Roman;serif"/>
          <w:b w:val="false"/>
          <w:color w:val="212529"/>
          <w:sz w:val="16"/>
          <w:shd w:fill="FFFFFF" w:val="clear"/>
        </w:rPr>
        <w:t>(9)</w:t>
      </w:r>
      <w:r>
        <w:rPr>
          <w:rFonts w:ascii="Times New Roman;serif" w:hAnsi="Times New Roman;serif"/>
          <w:b w:val="false"/>
          <w:color w:val="000000"/>
          <w:sz w:val="16"/>
        </w:rPr>
        <w:t>Consists principally of depreciation expense associated with our Kansas Entertainment joint venture.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(10)Primarily relates to transaction costs and finance transformation costs, partially offset by dividend income received and insurance recoveries, net of deductible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1828"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31"/>
        <w:gridCol w:w="109"/>
        <w:gridCol w:w="109"/>
        <w:gridCol w:w="109"/>
        <w:gridCol w:w="109"/>
        <w:gridCol w:w="211"/>
        <w:gridCol w:w="511"/>
        <w:gridCol w:w="109"/>
        <w:gridCol w:w="109"/>
        <w:gridCol w:w="109"/>
        <w:gridCol w:w="109"/>
        <w:gridCol w:w="280"/>
        <w:gridCol w:w="700"/>
        <w:gridCol w:w="146"/>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76" w:type="dxa"/>
        <w:jc w:val="left"/>
        <w:tblInd w:w="0" w:type="dxa"/>
        <w:tblLayout w:type="fixed"/>
        <w:tblCellMar>
          <w:top w:w="28" w:type="dxa"/>
          <w:left w:w="28" w:type="dxa"/>
          <w:bottom w:w="28" w:type="dxa"/>
          <w:right w:w="28" w:type="dxa"/>
        </w:tblCellMar>
      </w:tblPr>
      <w:tblGrid>
        <w:gridCol w:w="1887"/>
        <w:gridCol w:w="1661"/>
        <w:gridCol w:w="1672"/>
        <w:gridCol w:w="211"/>
        <w:gridCol w:w="69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 award variance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(8)</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disposal of Barstool </w:t>
            </w:r>
            <w:r>
              <w:rPr>
                <w:rFonts w:ascii="Times New Roman;serif" w:hAnsi="Times New Roman;serif"/>
                <w:b w:val="false"/>
                <w:color w:val="000000"/>
                <w:sz w:val="13"/>
              </w:rPr>
              <w:t>(10)</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Barstool Acquisition, net </w:t>
            </w:r>
            <w:r>
              <w:rPr>
                <w:rFonts w:ascii="Times New Roman;serif" w:hAnsi="Times New Roman;serif"/>
                <w:b w:val="false"/>
                <w:color w:val="000000"/>
                <w:sz w:val="13"/>
              </w:rPr>
              <w:t>(11)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REIT transactions, net </w:t>
            </w:r>
            <w:r>
              <w:rPr>
                <w:rFonts w:ascii="Times New Roman;serif" w:hAnsi="Times New Roman;serif"/>
                <w:b w:val="false"/>
                <w:color w:val="000000"/>
                <w:sz w:val="13"/>
              </w:rPr>
              <w:t>(12)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(13)</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(1)Revenues and gaming taxes expense within our Interactive segment are inclusive of gaming tax reimbursement amounts related to third-party OSB and/or iCasino partners for OSB and iCasino market access of $390.4 million for the year ended December 31, 2023.</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$33.3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$12.5 million</w:t>
      </w:r>
      <w:r>
        <w:rPr>
          <w:color w:val="000000"/>
        </w:rPr>
        <w:t xml:space="preserve"> </w:t>
      </w:r>
      <w:r>
        <w:rPr>
          <w:rFonts w:ascii="Times New Roman;serif" w:hAnsi="Times New Roman;serif"/>
          <w:b w:val="false"/>
          <w:color w:val="000000"/>
          <w:sz w:val="16"/>
        </w:rPr>
        <w:t>related to the Investment Agreement with ESPN. While the Sportsbook Agreement and Investment Agreement commenced on August 8, 2023, the Company began recognizing advertising expense, specific to the initial annual period, during the fourth quarter of 2023. Also, includes advertising and media expenses (including such expenses associated with theScore) across various platforms, including television, radio, out-of-home, social media, and both paid and organic search, and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cost of goods sold,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non-cash gains/losses associated with partial and step acquisitions as measured in accordance with ASC 805, and other. Adjusted EBITDAR is also inclusive of income or loss from unconsolidated affiliates, with our share of non-operating items (see footnote (9) below) added back for Barstool and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(6)Primarily represents corporate overhead costs of </w:t>
      </w:r>
      <w:r>
        <w:rPr>
          <w:rFonts w:ascii="Times New Roman;serif" w:hAnsi="Times New Roman;serif"/>
          <w:b w:val="false"/>
          <w:color w:val="000000"/>
          <w:sz w:val="16"/>
          <w:shd w:fill="FFFFFF" w:val="clear"/>
        </w:rPr>
        <w:t>$106.7 million</w:t>
      </w:r>
      <w:r>
        <w:rPr>
          <w:color w:val="000000"/>
        </w:rPr>
        <w:t xml:space="preserve"> </w:t>
      </w:r>
      <w:r>
        <w:rPr>
          <w:rFonts w:ascii="Times New Roman;serif" w:hAnsi="Times New Roman;serif"/>
          <w:b w:val="false"/>
          <w:color w:val="000000"/>
          <w:sz w:val="16"/>
        </w:rPr>
        <w:t>for the year ended December 31, 2023.</w:t>
      </w:r>
    </w:p>
    <w:p>
      <w:pPr>
        <w:pStyle w:val="TextBody"/>
        <w:bidi w:val="0"/>
        <w:spacing w:lineRule="auto" w:line="288" w:before="0" w:after="60"/>
        <w:ind w:left="0" w:right="0" w:hanging="360"/>
        <w:jc w:val="left"/>
        <w:rPr/>
      </w:pPr>
      <w:r>
        <w:rPr>
          <w:rFonts w:ascii="Times New Roman;serif" w:hAnsi="Times New Roman;serif"/>
          <w:b w:val="false"/>
          <w:color w:val="212529"/>
          <w:sz w:val="16"/>
          <w:shd w:fill="FFFFFF" w:val="clear"/>
        </w:rPr>
        <w:t>(7)</w:t>
      </w:r>
      <w:r>
        <w:rPr>
          <w:rFonts w:ascii="Times New Roman;serif" w:hAnsi="Times New Roman;serif"/>
          <w:b w:val="false"/>
          <w:color w:val="000000"/>
          <w:sz w:val="16"/>
        </w:rPr>
        <w:t>Pertains to the following operating leases: (i) AR PENN Master Lease; (ii) 2023 Master Lease; (iii) Margaritaville Lease; (iv) Greektown Lease.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(8)</w:t>
      </w:r>
      <w:r>
        <w:rPr>
          <w:rFonts w:ascii="Times New Roman;serif" w:hAnsi="Times New Roman;serif"/>
          <w:b w:val="false"/>
          <w:color w:val="000000"/>
          <w:sz w:val="16"/>
        </w:rPr>
        <w:t xml:space="preserve">Impairment charges relate to our Northeast segment. See </w:t>
      </w:r>
      <w:hyperlink w:anchor="ic1a494480e6146a1a6acab9187fe13be_169">
        <w:r>
          <w:rPr>
            <w:rStyle w:val="InternetLink"/>
            <w:rFonts w:ascii="Times New Roman;serif" w:hAnsi="Times New Roman;serif"/>
            <w:b w:val="false"/>
            <w:color w:val="0000FF"/>
            <w:sz w:val="16"/>
            <w:u w:val="single"/>
          </w:rPr>
          <w:t>Note 8, “Goodwill and Other Intangible Assets.”</w:t>
        </w:r>
      </w:hyperlink>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(9)Consists principally of interest expense, net, income taxes, depreciation and amortization, and stock-based compensation expense associated with Barstool prior to us acquiring the remaining 64% of Barstool common stock (see </w:t>
      </w:r>
      <w:hyperlink w:anchor="ic1a494480e6146a1a6acab9187fe13be_160">
        <w:r>
          <w:rPr>
            <w:rStyle w:val="InternetLink"/>
          </w:rPr>
          <w:t>Note 5, “Acquisitions and D</w:t>
        </w:r>
      </w:hyperlink>
      <w:hyperlink w:anchor="ic1a494480e6146a1a6acab9187fe13be_160">
        <w:r>
          <w:rPr>
            <w:rStyle w:val="InternetLink"/>
          </w:rPr>
          <w:t>ispositions”</w:t>
        </w:r>
      </w:hyperlink>
      <w:r>
        <w:rPr>
          <w:rFonts w:ascii="Times New Roman;serif" w:hAnsi="Times New Roman;serif"/>
          <w:b w:val="false"/>
          <w:color w:val="000000"/>
          <w:sz w:val="16"/>
        </w:rPr>
        <w:t>) and our Kansas Entertainment joint venture.</w:t>
      </w:r>
    </w:p>
    <w:p>
      <w:pPr>
        <w:pStyle w:val="TextBody"/>
        <w:bidi w:val="0"/>
        <w:spacing w:lineRule="auto" w:line="288" w:before="0" w:after="0"/>
        <w:ind w:left="0" w:right="0" w:hanging="360"/>
        <w:jc w:val="left"/>
        <w:rPr/>
      </w:pPr>
      <w:r>
        <w:rPr>
          <w:rFonts w:ascii="Times New Roman;serif" w:hAnsi="Times New Roman;serif"/>
          <w:b w:val="false"/>
          <w:color w:val="000000"/>
          <w:sz w:val="16"/>
        </w:rPr>
        <w:t xml:space="preserve">(10)Relates to the loss incurred on the sale of 100% of the outstanding shares of Barstool which was completed on August 8, 2023. See </w:t>
      </w:r>
      <w:hyperlink w:anchor="ic1a494480e6146a1a6acab9187fe13be_160">
        <w:r>
          <w:rPr>
            <w:rStyle w:val="InternetLink"/>
            <w:rFonts w:ascii="Times New Roman;serif" w:hAnsi="Times New Roman;serif"/>
            <w:b w:val="false"/>
            <w:color w:val="0000FF"/>
            <w:sz w:val="16"/>
            <w:u w:val="single"/>
          </w:rPr>
          <w:t>Note 5, “Acquisitions and Dispositions.”</w:t>
        </w:r>
      </w:hyperlink>
    </w:p>
    <w:p>
      <w:pPr>
        <w:pStyle w:val="TextBody"/>
        <w:bidi w:val="0"/>
        <w:spacing w:lineRule="auto" w:line="288" w:before="0" w:after="0"/>
        <w:ind w:left="0" w:right="0" w:hanging="360"/>
        <w:jc w:val="left"/>
        <w:rPr/>
      </w:pPr>
      <w:r>
        <w:rPr>
          <w:rFonts w:ascii="Times New Roman;serif" w:hAnsi="Times New Roman;serif"/>
          <w:b w:val="false"/>
          <w:color w:val="000000"/>
          <w:sz w:val="16"/>
        </w:rPr>
        <w:t xml:space="preserve">(11)Includes a gain of </w:t>
      </w:r>
      <w:r>
        <w:rPr>
          <w:rFonts w:ascii="Times New Roman;serif" w:hAnsi="Times New Roman;serif"/>
          <w:b w:val="false"/>
          <w:color w:val="000000"/>
          <w:sz w:val="16"/>
          <w:shd w:fill="FFFFFF" w:val="clear"/>
        </w:rPr>
        <w:t>$66.5 million</w:t>
      </w:r>
      <w:r>
        <w:rPr>
          <w:color w:val="000000"/>
        </w:rPr>
        <w:t xml:space="preserve"> </w:t>
      </w:r>
      <w:r>
        <w:rPr>
          <w:rFonts w:ascii="Times New Roman;serif" w:hAnsi="Times New Roman;serif"/>
          <w:b w:val="false"/>
          <w:color w:val="000000"/>
          <w:sz w:val="16"/>
        </w:rPr>
        <w:t xml:space="preserve">associated with Barstool related to remeasurement of the equity investment immediately prior to the acquisition date of February 17, 2023 and a gain of </w:t>
      </w:r>
      <w:r>
        <w:rPr>
          <w:rFonts w:ascii="Times New Roman;serif" w:hAnsi="Times New Roman;serif"/>
          <w:b w:val="false"/>
          <w:color w:val="000000"/>
          <w:sz w:val="16"/>
          <w:shd w:fill="FFFFFF" w:val="clear"/>
        </w:rPr>
        <w:t>$16.9 million</w:t>
      </w:r>
      <w:r>
        <w:rPr>
          <w:color w:val="000000"/>
        </w:rPr>
        <w:t xml:space="preserve"> </w:t>
      </w:r>
      <w:r>
        <w:rPr>
          <w:rFonts w:ascii="Times New Roman;serif" w:hAnsi="Times New Roman;serif"/>
          <w:b w:val="false"/>
          <w:color w:val="000000"/>
          <w:sz w:val="16"/>
        </w:rPr>
        <w:t xml:space="preserve">related to the acquisition of the remaining 64% of Barstool common stock. See </w:t>
      </w:r>
      <w:hyperlink w:anchor="ic1a494480e6146a1a6acab9187fe13be_160">
        <w:r>
          <w:rPr>
            <w:rStyle w:val="InternetLink"/>
            <w:rFonts w:ascii="Times New Roman;serif" w:hAnsi="Times New Roman;serif"/>
            <w:b w:val="false"/>
            <w:color w:val="0000FF"/>
            <w:sz w:val="16"/>
            <w:u w:val="single"/>
          </w:rPr>
          <w:t>Note 5, “Acquisitions and Dispositions.”</w:t>
        </w:r>
      </w:hyperlink>
    </w:p>
    <w:p>
      <w:pPr>
        <w:pStyle w:val="TextBody"/>
        <w:bidi w:val="0"/>
        <w:spacing w:lineRule="auto" w:line="288" w:before="0" w:after="0"/>
        <w:ind w:left="0" w:right="0" w:hanging="360"/>
        <w:jc w:val="left"/>
        <w:rPr/>
      </w:pPr>
      <w:r>
        <w:rPr>
          <w:rFonts w:ascii="Times New Roman;serif" w:hAnsi="Times New Roman;serif"/>
          <w:b w:val="false"/>
          <w:color w:val="000000"/>
          <w:sz w:val="16"/>
        </w:rPr>
        <w:t>(12)Upon the execution of the February 21, 2023 AR PENN Master Lease and the 2023 Master Lease, both effective January 1, 2023, we recognized a gain of $500.8 million as a result of the reclassification and remeasurement of lease components. S</w:t>
      </w:r>
      <w:r>
        <w:rPr>
          <w:rFonts w:ascii="Times New Roman;serif" w:hAnsi="Times New Roman;serif"/>
          <w:b w:val="false"/>
          <w:color w:val="000000"/>
          <w:sz w:val="16"/>
          <w:shd w:fill="FFFFFF" w:val="clear"/>
        </w:rPr>
        <w:t xml:space="preserve">ee </w:t>
      </w:r>
      <w:hyperlink w:anchor="ic1a494480e6146a1a6acab9187fe13be_181">
        <w:r>
          <w:rPr>
            <w:rStyle w:val="InternetLink"/>
            <w:rFonts w:ascii="Times New Roman;serif" w:hAnsi="Times New Roman;serif"/>
            <w:b w:val="false"/>
            <w:color w:val="0000FF"/>
            <w:sz w:val="16"/>
            <w:u w:val="single"/>
            <w:shd w:fill="FFFFFF" w:val="clear"/>
          </w:rPr>
          <w:t>Note 11, “Leases.”</w:t>
        </w:r>
      </w:hyperlink>
    </w:p>
    <w:p>
      <w:pPr>
        <w:pStyle w:val="TextBody"/>
        <w:bidi w:val="0"/>
        <w:spacing w:lineRule="auto" w:line="288" w:before="0" w:after="60"/>
        <w:ind w:left="0" w:right="0" w:hanging="360"/>
        <w:jc w:val="left"/>
        <w:rPr/>
      </w:pPr>
      <w:r>
        <w:rPr>
          <w:rFonts w:ascii="Times New Roman;serif" w:hAnsi="Times New Roman;serif"/>
          <w:b w:val="false"/>
          <w:color w:val="212529"/>
          <w:sz w:val="16"/>
          <w:shd w:fill="FFFFFF" w:val="clear"/>
        </w:rPr>
        <w:t>(13)</w:t>
      </w:r>
      <w:r>
        <w:rPr>
          <w:rFonts w:ascii="Times New Roman;serif" w:hAnsi="Times New Roman;serif"/>
          <w:b w:val="false"/>
          <w:color w:val="000000"/>
          <w:sz w:val="16"/>
        </w:rPr>
        <w:t xml:space="preserve">Primarily relates to unrealized holding losses on our equity securities of $6.4 million and non-recurring acquisition and transaction costs of $25.0 million, partially offset by insurance recoveries, net of deductible charges of $13.9 million and dividend income of $10.8 million. See </w:t>
      </w:r>
      <w:hyperlink w:anchor="ic1a494480e6146a1a6acab9187fe13be_208">
        <w:r>
          <w:rPr>
            <w:rStyle w:val="InternetLink"/>
            <w:rFonts w:ascii="Times New Roman;serif" w:hAnsi="Times New Roman;serif"/>
            <w:b w:val="false"/>
            <w:color w:val="0000FF"/>
            <w:sz w:val="16"/>
            <w:u w:val="single"/>
          </w:rPr>
          <w:t>Note 18, “Fair Value Measurements.”</w:t>
        </w:r>
      </w:hyperlink>
    </w:p>
    <w:p>
      <w:pPr>
        <w:pStyle w:val="TextBody"/>
        <w:bidi w:val="0"/>
        <w:spacing w:lineRule="auto" w:line="288" w:before="2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capital expenditures by segment:</w:t>
      </w:r>
    </w:p>
    <w:tbl>
      <w:tblPr>
        <w:tblW w:w="5847" w:type="dxa"/>
        <w:jc w:val="left"/>
        <w:tblInd w:w="0" w:type="dxa"/>
        <w:tblLayout w:type="fixed"/>
        <w:tblCellMar>
          <w:top w:w="28" w:type="dxa"/>
          <w:left w:w="28" w:type="dxa"/>
          <w:bottom w:w="28" w:type="dxa"/>
          <w:right w:w="28" w:type="dxa"/>
        </w:tblCellMar>
      </w:tblPr>
      <w:tblGrid>
        <w:gridCol w:w="848"/>
        <w:gridCol w:w="742"/>
        <w:gridCol w:w="750"/>
        <w:gridCol w:w="211"/>
        <w:gridCol w:w="616"/>
        <w:gridCol w:w="109"/>
        <w:gridCol w:w="109"/>
        <w:gridCol w:w="109"/>
        <w:gridCol w:w="109"/>
        <w:gridCol w:w="211"/>
        <w:gridCol w:w="616"/>
        <w:gridCol w:w="109"/>
        <w:gridCol w:w="109"/>
        <w:gridCol w:w="109"/>
        <w:gridCol w:w="109"/>
        <w:gridCol w:w="211"/>
        <w:gridCol w:w="61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Consolidated Balance Sheets as total consolidated assets.</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investment in and advances to unconsolidated affiliates and total assets by segment:</w:t>
      </w:r>
    </w:p>
    <w:tbl>
      <w:tblPr>
        <w:tblW w:w="10205" w:type="dxa"/>
        <w:jc w:val="left"/>
        <w:tblInd w:w="0" w:type="dxa"/>
        <w:tblLayout w:type="fixed"/>
        <w:tblCellMar>
          <w:top w:w="28" w:type="dxa"/>
          <w:left w:w="28" w:type="dxa"/>
          <w:bottom w:w="28" w:type="dxa"/>
          <w:right w:w="28" w:type="dxa"/>
        </w:tblCellMar>
      </w:tblPr>
      <w:tblGrid>
        <w:gridCol w:w="478"/>
        <w:gridCol w:w="394"/>
        <w:gridCol w:w="398"/>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5"/>
      </w:tblGrid>
      <w:tr>
        <w:trPr/>
        <w:tc>
          <w:tcPr>
            <w:tcW w:w="4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sheet as of December 31, 2025</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 in and advances to unconsolidated affiliates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sheet as of December 31, 2024</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 in and advances to unconsolidated affiliates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sheet as of December 31, 2023</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real estate assets subject to the (i) Master Leases; (ii) Margaritaville Lease (for the period January 1, 2023 to December 3, 2025); (iii) Greektown Lease (for the period January 1, 2023 to December 3, 2025); and (iv) VICI Master Lease (beginning December 4, 2025), which are classified as either property and equipment, net, operating lease ROU assets, or finance lease ROU assets, are included within the Other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18—Fair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Observable inputs such as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 approximates the carrying amounts.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Available-for-Sale Debt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acquired 12.0% secured convertible notes in a technology provider on April 7, 2023 for $20.0 million, due on the third-year anniversary of the date of issuance, which are recorded in “Other assets” in our Consolidated Balance Sheets. Additionally, the terms of these notes contain optional and mandatory conversion provisions pursuant to which we would receive common stock upon conversion.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fair value of the convertible notes was $26.4 million and $31.5 million, respectively. As such, during the years ended December 31, 2025 and 2024, we recorded an unrealized loss of $5.1 million and an unrealized gain of $7.3 million, respectively, and corresponding tax benefit of $1.3 million and tax expense of $1.9 million, respectively, to “Other comprehensive income (loss)” within our Consolidated Statements of Comprehensive Loss.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convertible notes was determined using valuation models that utilize Level 3 measurements.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our Amended Credit Facilities, 5.625% Notes, 4.125% Notes, and the Convertible Notes is estimated based on quoted prices in active markets. The previously described long-term debt instruments have been classified as Level 2 measurements.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December 31, 2024, other long-term obligations included a third-party financing arrangement entered into in February 2021, as discussed in </w:t>
      </w:r>
      <w:hyperlink w:anchor="ic1a494480e6146a1a6acab9187fe13be_175">
        <w:r>
          <w:rPr>
            <w:rStyle w:val="InternetLink"/>
            <w:rFonts w:ascii="Times New Roman;serif" w:hAnsi="Times New Roman;serif"/>
            <w:b w:val="false"/>
            <w:color w:val="000080"/>
            <w:sz w:val="20"/>
            <w:u w:val="single"/>
          </w:rPr>
          <w:t>Note 10, “Long-term Debt</w:t>
        </w:r>
      </w:hyperlink>
      <w:hyperlink w:anchor="ic1a494480e6146a1a6acab9187fe13be_175">
        <w:r>
          <w:rPr>
            <w:rStyle w:val="InternetLink"/>
            <w:rFonts w:ascii="Times New Roman;serif" w:hAnsi="Times New Roman;serif"/>
            <w:b w:val="false"/>
            <w:color w:val="000080"/>
            <w:sz w:val="20"/>
            <w:u w:val="single"/>
          </w:rPr>
          <w:t>.</w:t>
        </w:r>
      </w:hyperlink>
      <w:hyperlink w:anchor="ic1a494480e6146a1a6acab9187fe13be_175">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The financing arrangement provided the Company with upfront and non-refundable cash proceeds, while permitting us to participate in future proceeds on certain claims. The financing obligation was classified as a Level 3 measurement and as of December 31, 2024, and was included within the Consolidated Balance Sheets in “Long-term debt, net of current maturities, debt discount, and debt issuance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Liabilities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both December 31, 2025 and 2024, Other liabilities includes a $39.5 million tax indemnification, as described in </w:t>
      </w:r>
      <w:hyperlink w:anchor="ic1a494480e6146a1a6acab9187fe13be_148">
        <w:r>
          <w:rPr>
            <w:rStyle w:val="InternetLink"/>
            <w:rFonts w:ascii="Times New Roman;serif" w:hAnsi="Times New Roman;serif"/>
            <w:b w:val="false"/>
            <w:color w:val="000080"/>
            <w:sz w:val="20"/>
            <w:u w:val="single"/>
          </w:rPr>
          <w:t>Note 2, “Significant Accounting Policies and Basis of Presentation</w:t>
        </w:r>
      </w:hyperlink>
      <w:hyperlink w:anchor="ic1a494480e6146a1a6acab9187fe13be_148">
        <w:r>
          <w:rPr>
            <w:rStyle w:val="InternetLink"/>
            <w:rFonts w:ascii="Times New Roman;serif" w:hAnsi="Times New Roman;serif"/>
            <w:b w:val="false"/>
            <w:color w:val="000080"/>
            <w:sz w:val="20"/>
            <w:u w:val="single"/>
          </w:rPr>
          <w:t>.</w:t>
        </w:r>
      </w:hyperlink>
      <w:hyperlink w:anchor="ic1a494480e6146a1a6acab9187fe13be_148">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Liabilities associated with the indemnification are recorded in “Other long-term liabilities” within our Consolidated Balance Sheets. The indemnity has been classified as a Level 3 measurement. Key assumptions used to estimate the fair value of the indemnification include the expected tax rate and the probability of potential outcomes based on valuation methods that utilize unobservable inputs that are significant to the overall fair value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were as follows:</w:t>
      </w:r>
    </w:p>
    <w:tbl>
      <w:tblPr>
        <w:tblW w:w="9701"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06"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our Level 3 assets and liabilities measured on a recurring basis:</w:t>
      </w:r>
    </w:p>
    <w:tbl>
      <w:tblPr>
        <w:tblW w:w="7140" w:type="dxa"/>
        <w:jc w:val="left"/>
        <w:tblInd w:w="0" w:type="dxa"/>
        <w:tblLayout w:type="fixed"/>
        <w:tblCellMar>
          <w:top w:w="28" w:type="dxa"/>
          <w:left w:w="28" w:type="dxa"/>
          <w:bottom w:w="28" w:type="dxa"/>
          <w:right w:w="28" w:type="dxa"/>
        </w:tblCellMar>
      </w:tblPr>
      <w:tblGrid>
        <w:gridCol w:w="1691"/>
        <w:gridCol w:w="1485"/>
        <w:gridCol w:w="1489"/>
        <w:gridCol w:w="531"/>
        <w:gridCol w:w="1554"/>
        <w:gridCol w:w="390"/>
      </w:tblGrid>
      <w:tr>
        <w:trPr/>
        <w:tc>
          <w:tcPr>
            <w:tcW w:w="169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Assets and Liabilities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2023</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Included in net loss and other comprehensive income</w:t>
            </w:r>
            <w:r>
              <w:rPr>
                <w:color w:val="000000"/>
              </w:rPr>
              <w:t xml:space="preserve"> </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2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Included in net loss and other comprehensive loss</w:t>
            </w:r>
            <w:r>
              <w:rPr>
                <w:color w:val="000000"/>
              </w:rPr>
              <w:t xml:space="preserve"> </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Included in net loss and other comprehensive income</w:t>
            </w:r>
            <w:r>
              <w:rPr>
                <w:color w:val="000000"/>
              </w:rPr>
              <w:t xml:space="preserve"> </w:t>
            </w:r>
            <w:r>
              <w:rPr>
                <w:rFonts w:ascii="Times New Roman;serif" w:hAnsi="Times New Roman;serif"/>
                <w:b w:val="false"/>
                <w:color w:val="000000"/>
                <w:sz w:val="13"/>
              </w:rPr>
              <w:t>(1)</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(1)Includes a non-cash gain on financing arrangement and an unrealized loss on debt securities. See</w:t>
      </w:r>
      <w:r>
        <w:rPr>
          <w:color w:val="000000"/>
        </w:rPr>
        <w:t xml:space="preserve"> </w:t>
      </w:r>
      <w:hyperlink w:anchor="ic1a494480e6146a1a6acab9187fe13be_175">
        <w:r>
          <w:rPr>
            <w:rStyle w:val="InternetLink"/>
          </w:rPr>
          <w:t>Note 10, “Long-Term Debt</w:t>
        </w:r>
      </w:hyperlink>
      <w:hyperlink w:anchor="ic1a494480e6146a1a6acab9187fe13be_175">
        <w:r>
          <w:rPr>
            <w:rStyle w:val="InternetLink"/>
          </w:rPr>
          <w:t>.</w:t>
        </w:r>
      </w:hyperlink>
      <w:hyperlink w:anchor="ic1a494480e6146a1a6acab9187fe13be_175">
        <w:r>
          <w:rPr>
            <w:rStyle w:val="InternetLink"/>
          </w:rPr>
          <w:t>”</w:t>
        </w:r>
      </w:hyperlink>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assets measured at fair value on a non-recurring basis as of December 31, 2025 and 2024:</w:t>
      </w:r>
    </w:p>
    <w:tbl>
      <w:tblPr>
        <w:tblW w:w="10205" w:type="dxa"/>
        <w:jc w:val="left"/>
        <w:tblInd w:w="0" w:type="dxa"/>
        <w:tblLayout w:type="fixed"/>
        <w:tblCellMar>
          <w:top w:w="28" w:type="dxa"/>
          <w:left w:w="28" w:type="dxa"/>
          <w:bottom w:w="28" w:type="dxa"/>
          <w:right w:w="28" w:type="dxa"/>
        </w:tblCellMar>
      </w:tblPr>
      <w:tblGrid>
        <w:gridCol w:w="439"/>
        <w:gridCol w:w="323"/>
        <w:gridCol w:w="325"/>
        <w:gridCol w:w="323"/>
        <w:gridCol w:w="323"/>
        <w:gridCol w:w="324"/>
        <w:gridCol w:w="109"/>
        <w:gridCol w:w="109"/>
        <w:gridCol w:w="109"/>
        <w:gridCol w:w="422"/>
        <w:gridCol w:w="380"/>
        <w:gridCol w:w="381"/>
        <w:gridCol w:w="109"/>
        <w:gridCol w:w="109"/>
        <w:gridCol w:w="109"/>
        <w:gridCol w:w="213"/>
        <w:gridCol w:w="411"/>
        <w:gridCol w:w="112"/>
        <w:gridCol w:w="109"/>
        <w:gridCol w:w="109"/>
        <w:gridCol w:w="109"/>
        <w:gridCol w:w="213"/>
        <w:gridCol w:w="411"/>
        <w:gridCol w:w="112"/>
        <w:gridCol w:w="109"/>
        <w:gridCol w:w="109"/>
        <w:gridCol w:w="109"/>
        <w:gridCol w:w="211"/>
        <w:gridCol w:w="616"/>
        <w:gridCol w:w="109"/>
        <w:gridCol w:w="109"/>
        <w:gridCol w:w="109"/>
        <w:gridCol w:w="109"/>
        <w:gridCol w:w="215"/>
        <w:gridCol w:w="630"/>
        <w:gridCol w:w="111"/>
        <w:gridCol w:w="109"/>
        <w:gridCol w:w="109"/>
        <w:gridCol w:w="109"/>
        <w:gridCol w:w="351"/>
        <w:gridCol w:w="1024"/>
        <w:gridCol w:w="264"/>
      </w:tblGrid>
      <w:tr>
        <w:trPr/>
        <w:tc>
          <w:tcPr>
            <w:tcW w:w="4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Reduction in Fair Value Recorded</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w:t>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 and market approach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 and market approach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 and market approach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calculating fair value for our Level 3 assets and liabilities on a recurring basis as of December 31, 2025:</w:t>
      </w:r>
    </w:p>
    <w:tbl>
      <w:tblPr>
        <w:tblW w:w="8407" w:type="dxa"/>
        <w:jc w:val="left"/>
        <w:tblInd w:w="0" w:type="dxa"/>
        <w:tblLayout w:type="fixed"/>
        <w:tblCellMar>
          <w:top w:w="28" w:type="dxa"/>
          <w:left w:w="28" w:type="dxa"/>
          <w:bottom w:w="28" w:type="dxa"/>
          <w:right w:w="28" w:type="dxa"/>
        </w:tblCellMar>
      </w:tblPr>
      <w:tblGrid>
        <w:gridCol w:w="1011"/>
        <w:gridCol w:w="889"/>
        <w:gridCol w:w="890"/>
        <w:gridCol w:w="624"/>
        <w:gridCol w:w="624"/>
        <w:gridCol w:w="626"/>
        <w:gridCol w:w="109"/>
        <w:gridCol w:w="109"/>
        <w:gridCol w:w="109"/>
        <w:gridCol w:w="589"/>
        <w:gridCol w:w="589"/>
        <w:gridCol w:w="591"/>
        <w:gridCol w:w="109"/>
        <w:gridCol w:w="109"/>
        <w:gridCol w:w="109"/>
        <w:gridCol w:w="386"/>
        <w:gridCol w:w="386"/>
        <w:gridCol w:w="548"/>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As discussed in </w:t>
      </w:r>
      <w:hyperlink w:anchor="ic1a494480e6146a1a6acab9187fe13be_169">
        <w:r>
          <w:rPr>
            <w:rStyle w:val="InternetLink"/>
            <w:rFonts w:ascii="Times New Roman;serif" w:hAnsi="Times New Roman;serif"/>
            <w:b w:val="false"/>
            <w:color w:val="0000FF"/>
            <w:sz w:val="20"/>
            <w:u w:val="single"/>
          </w:rPr>
          <w:t>Note 8, “Goodwill and Other Intangible Assets,”</w:t>
        </w:r>
      </w:hyperlink>
      <w:r>
        <w:rPr>
          <w:color w:val="000000"/>
        </w:rPr>
        <w:t xml:space="preserve"> </w:t>
      </w:r>
      <w:r>
        <w:rPr>
          <w:rFonts w:ascii="Times New Roman;serif" w:hAnsi="Times New Roman;serif"/>
          <w:b w:val="false"/>
          <w:color w:val="000000"/>
          <w:sz w:val="20"/>
        </w:rPr>
        <w:t>we recorded impairment charges on the indefinite-lived intangible asset classes below, following both interim assessments and our annual impairment assessment during the year ended December 31, 2025, and our annual impairment assessment during the year ended December 31, 2024. The table below presents quantitative information about the significant unobservable inputs used in the fair value measurements as of the valuation dates below:</w:t>
      </w:r>
    </w:p>
    <w:tbl>
      <w:tblPr>
        <w:tblW w:w="10068" w:type="dxa"/>
        <w:jc w:val="left"/>
        <w:tblInd w:w="0" w:type="dxa"/>
        <w:tblLayout w:type="fixed"/>
        <w:tblCellMar>
          <w:top w:w="28" w:type="dxa"/>
          <w:left w:w="28" w:type="dxa"/>
          <w:bottom w:w="28" w:type="dxa"/>
          <w:right w:w="28" w:type="dxa"/>
        </w:tblCellMar>
      </w:tblPr>
      <w:tblGrid>
        <w:gridCol w:w="701"/>
        <w:gridCol w:w="616"/>
        <w:gridCol w:w="618"/>
        <w:gridCol w:w="259"/>
        <w:gridCol w:w="627"/>
        <w:gridCol w:w="133"/>
        <w:gridCol w:w="109"/>
        <w:gridCol w:w="109"/>
        <w:gridCol w:w="109"/>
        <w:gridCol w:w="624"/>
        <w:gridCol w:w="624"/>
        <w:gridCol w:w="626"/>
        <w:gridCol w:w="109"/>
        <w:gridCol w:w="109"/>
        <w:gridCol w:w="109"/>
        <w:gridCol w:w="869"/>
        <w:gridCol w:w="869"/>
        <w:gridCol w:w="872"/>
        <w:gridCol w:w="109"/>
        <w:gridCol w:w="109"/>
        <w:gridCol w:w="109"/>
        <w:gridCol w:w="335"/>
        <w:gridCol w:w="335"/>
        <w:gridCol w:w="979"/>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Range or Amount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April 30, 2025</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Pre-tax royalty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October 1, 2025</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Long-term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12.0%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Long-term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Pretax royalty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October 1, 2024</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Long-term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12.5% - 14.5%</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Long-term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 - 4.0%</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Pretax royalty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- 5.0%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19—Related Party Transactions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two executive office buildings in Wyomissing, Pennsylvania from affiliates of its chairman emeritus of the Board. Rent expense was $1.1 million for each of the three years ended December 31, 2025, 2024, and 2023. One lease was renewed in December 2025 and will expire in December 2030, and the other lease expires in August 2026. As of December 31, 2025, the future minimum lease commitments relating to the leases were $2.3 million.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pPr>
      <w:r>
        <w:rPr>
          <w:rFonts w:ascii="Times New Roman;serif" w:hAnsi="Times New Roman;serif"/>
          <w:b/>
          <w:color w:val="000000"/>
          <w:sz w:val="20"/>
        </w:rPr>
        <w:t>ITEM 9A.</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200"/>
        <w:ind w:left="0" w:right="0" w:firstLine="360"/>
        <w:jc w:val="left"/>
        <w:rPr/>
      </w:pPr>
      <w:r>
        <w:rPr>
          <w:color w:val="000000"/>
        </w:rPr>
        <w:t> </w:t>
      </w:r>
      <w:r>
        <w:rPr>
          <w:rFonts w:ascii="Times New Roman;serif" w:hAnsi="Times New Roman;serif"/>
          <w:b w:val="false"/>
          <w:color w:val="000000"/>
          <w:sz w:val="20"/>
        </w:rPr>
        <w:t>The Company’s management, under the supervision and with the participation of our principal executive officer and principal financial officer, evaluated the effectiveness of the Company’s disclosure controls and procedures, as such term is defined under Rule 13a-15(e) promulgated under the Securities Exchange Act of 1934, as amended (the “Exchange Act”), as of December 31, 2025,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December 31, 2025 to provide reasonable assurance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establishing and maintaining adequate internal control over financial reporting (as defined in Exchange Act Rules 13a-15(f) and 15d-15(f)).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assessed the effectiveness of our internal control over financial reporting and concluded that it was effective as of December 31, 2025. In making this assessment, we used the criteria set forth by the Committee of Sponsoring Organizations of the Treadway Commission (“COSO”) in “Internal Control—Integrated Framework (2013 framework).”</w:t>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The effectiveness of the Company’s internal control over financial reporting as of December 31, 2025 has been audited by PricewaterhouseCoopers LLP, the Company’s independent registered public accounting firm, as stated in their report included in </w:t>
      </w:r>
      <w:hyperlink w:anchor="ic1a494480e6146a1a6acab9187fe13be_118">
        <w:r>
          <w:rPr>
            <w:rStyle w:val="InternetLink"/>
            <w:color w:val="0000FF"/>
            <w:u w:val="single"/>
          </w:rPr>
          <w:t>“</w:t>
        </w:r>
      </w:hyperlink>
      <w:hyperlink w:anchor="ic1a494480e6146a1a6acab9187fe13be_118">
        <w:r>
          <w:rPr>
            <w:rStyle w:val="InternetLink"/>
            <w:rFonts w:ascii="Times New Roman;serif" w:hAnsi="Times New Roman;serif"/>
            <w:b w:val="false"/>
            <w:color w:val="0000FF"/>
            <w:sz w:val="20"/>
            <w:u w:val="single"/>
          </w:rPr>
          <w:t>Item 8. Financial Statements and Supplementary Data”</w:t>
        </w:r>
      </w:hyperlink>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ind w:left="0" w:right="0" w:firstLine="36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Exchange Act Rules 13a-15(f) and 15d-15(f)) that occurred during the fiscal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Rule 10b5-1 Trading Plans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the Company’s directors or executive officers adopted, modified or terminated any contract, instruction or written plan for the purchase or sale of the Company’s securities that was intended to satisfy the affirmative defense conditions of Exchange Act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concerning directors and corporate governance is hereby incorporated by reference to the Company’s definitive proxy statement for its Annual Meeting of Shareholders (the “2026 Proxy Statement”), to be filed with the U.S. Securities and Exchange Commission within 120 days after December 31, 2025, pursuant to Regulation 14A under the Exchange Act. Information required by this item concerning executive officers is included in Part I of this Annual Report on Form 10-K.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Insider Trading Policy</w:t>
      </w:r>
    </w:p>
    <w:p>
      <w:pPr>
        <w:pStyle w:val="TextBody"/>
        <w:bidi w:val="0"/>
        <w:spacing w:lineRule="auto" w:line="288" w:before="0" w:after="200"/>
        <w:ind w:left="0" w:right="0" w:firstLine="360"/>
        <w:jc w:val="left"/>
        <w:rPr/>
      </w:pPr>
      <w:r>
        <w:rPr>
          <w:rFonts w:ascii="sans-serif" w:hAnsi="sans-serif"/>
          <w:b w:val="false"/>
          <w:color w:val="000000"/>
          <w:sz w:val="20"/>
        </w:rPr>
        <w:t>T</w:t>
      </w:r>
      <w:r>
        <w:rPr>
          <w:rFonts w:ascii="Times New Roman;serif" w:hAnsi="Times New Roman;serif"/>
          <w:b w:val="false"/>
          <w:color w:val="000000"/>
          <w:sz w:val="20"/>
        </w:rPr>
        <w:t xml:space="preserve">he Company maintains an Insider Trading Policy that applies to members of the Company’s Board of Directors (the “Board”), our officers and all other employees, which we believe is reasonably designed to promote compliance with applicable insider trading laws, rules and regulations, and listing standards. As noted in the Insider Trading Policy, it is also the Company’s policy to comply with applicable securities laws concerning insider trading when the Company engages in transactions in its securities. The Insider Trading Policy is incorporated by reference as Exhibit 19.1 to this Annual Report.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Code of Business Conduct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Board has adopted and regularly reviews the Company’s Code of Business Conduct (the “Code of Conduct”), which applies to all directors and employees of the Company, including its principal executive officer, principal financial officer and principal accounting officer. The Code of Conduct is designed to, among other things, promote ethical behavior, deter wrongdoing, address potential conflicts of interest, and encourage both compliance with applicable laws and full and accurate reporting in the Company’s filings with the SEC. The Code of Conduct also provides for a 24-hour hotline that any employee, patron, vendor or other third party can use to report, anonymously if they so choose, any suspected fraud, financial impropriety or other alleged wrongdoing. These reports are promptly investigated and receive the highest level of management attention, with particular focus from the Company’s Chief Compliance Officer; Vice President, Internal Audit; Chief Human Resources Officer and Legal Department, as appropriate. Subsequently, senior management provides investigation summaries to the Compliance Committee and the Audit Committee. The Code of Conduct is available on our website at www.pennentertainment.com/investors/corporate-governance. We intend to disclose on our website any amendment to or waiver for directors or executive officers of any of the provisions of the Code of Conduct that relate to any element of the code of ethics definition enumerated in Item 406(b)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hereby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STOCKHOLDERS MATTERS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hereby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hereby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14.PRINCIPAL ACCOUNTANT FEES AND SERVICES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hereby incorporated by reference to the 2026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15.EXHIBITS, FINANCIAL STATEMENT SCHEDULES</w:t>
      </w:r>
    </w:p>
    <w:tbl>
      <w:tblPr>
        <w:tblW w:w="10205" w:type="dxa"/>
        <w:jc w:val="center"/>
        <w:tblInd w:w="0" w:type="dxa"/>
        <w:tblLayout w:type="fixed"/>
        <w:tblCellMar>
          <w:top w:w="28" w:type="dxa"/>
          <w:left w:w="28" w:type="dxa"/>
          <w:bottom w:w="28" w:type="dxa"/>
          <w:right w:w="28" w:type="dxa"/>
        </w:tblCellMar>
      </w:tblPr>
      <w:tblGrid>
        <w:gridCol w:w="156"/>
        <w:gridCol w:w="137"/>
        <w:gridCol w:w="137"/>
        <w:gridCol w:w="2931"/>
        <w:gridCol w:w="2843"/>
        <w:gridCol w:w="4001"/>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 1.</w:t>
            </w:r>
          </w:p>
        </w:tc>
        <w:tc>
          <w:tcPr>
            <w:tcW w:w="9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list of the Consolidated Financial Statements of the Company and its subsidiaries and supplementary data included herein under Item 8 of Part II of this report, “Financial Statements and Supplementary Data:”</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00"/>
        <w:gridCol w:w="3090"/>
        <w:gridCol w:w="3100"/>
        <w:gridCol w:w="167"/>
        <w:gridCol w:w="167"/>
        <w:gridCol w:w="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21">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 xml:space="preserve">(PCAOB ID No. </w:t>
            </w:r>
            <w:r>
              <w:rPr>
                <w:rFonts w:ascii="Times New Roman;serif" w:hAnsi="Times New Roman;serif"/>
                <w:b w:val="false"/>
                <w:color w:val="000000"/>
                <w:sz w:val="18"/>
              </w:rPr>
              <w:t>238</w:t>
            </w:r>
            <w:r>
              <w:rPr>
                <w:rFonts w:ascii="Times New Roman;serif" w:hAnsi="Times New Roman;serif"/>
                <w:b w:val="false"/>
                <w:color w:val="000000"/>
                <w:sz w:val="20"/>
              </w:rPr>
              <w:t>)</w:t>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1a494480e6146a1a6acab9187fe13be_121">
              <w:r>
                <w:rPr>
                  <w:rStyle w:val="InternetLink"/>
                  <w:rFonts w:ascii="Times New Roman;serif" w:hAnsi="Times New Roman;serif"/>
                  <w:b w:val="false"/>
                  <w:color w:val="0000FF"/>
                  <w:sz w:val="20"/>
                  <w:u w:val="single"/>
                </w:rPr>
                <w:t>57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24">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24">
              <w:r>
                <w:rPr>
                  <w:rStyle w:val="InternetLink"/>
                  <w:rFonts w:ascii="Times New Roman;serif" w:hAnsi="Times New Roman;serif"/>
                  <w:b w:val="false"/>
                  <w:color w:val="0000FF"/>
                  <w:sz w:val="20"/>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27">
              <w:r>
                <w:rPr>
                  <w:rStyle w:val="InternetLink"/>
                  <w:rFonts w:ascii="Times New Roman;serif" w:hAnsi="Times New Roman;serif"/>
                  <w:b w:val="false"/>
                  <w:color w:val="0000FF"/>
                  <w:sz w:val="20"/>
                  <w:u w:val="single"/>
                </w:rPr>
                <w:t>Consolidated Balance Sheets as of December 31, 2025 and 2024</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27">
              <w:r>
                <w:rPr>
                  <w:rStyle w:val="InternetLink"/>
                  <w:rFonts w:ascii="Times New Roman;serif" w:hAnsi="Times New Roman;serif"/>
                  <w:b w:val="false"/>
                  <w:color w:val="0000FF"/>
                  <w:sz w:val="20"/>
                  <w:u w:val="single"/>
                </w:rPr>
                <w:t>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30">
              <w:r>
                <w:rPr>
                  <w:rStyle w:val="InternetLink"/>
                  <w:rFonts w:ascii="Times New Roman;serif" w:hAnsi="Times New Roman;serif"/>
                  <w:b w:val="false"/>
                  <w:color w:val="0000FF"/>
                  <w:sz w:val="20"/>
                  <w:u w:val="single"/>
                </w:rPr>
                <w:t>Consolidated Statements of Operations for the years ended December 31, 2025, 2024, and 2023</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30">
              <w:r>
                <w:rPr>
                  <w:rStyle w:val="InternetLink"/>
                  <w:rFonts w:ascii="Times New Roman;serif" w:hAnsi="Times New Roman;serif"/>
                  <w:b w:val="false"/>
                  <w:color w:val="0000FF"/>
                  <w:sz w:val="20"/>
                  <w:u w:val="single"/>
                </w:rPr>
                <w:t>61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33">
              <w:r>
                <w:rPr>
                  <w:rStyle w:val="InternetLink"/>
                  <w:rFonts w:ascii="Times New Roman;serif" w:hAnsi="Times New Roman;serif"/>
                  <w:b w:val="false"/>
                  <w:color w:val="0000FF"/>
                  <w:sz w:val="20"/>
                  <w:u w:val="single"/>
                </w:rPr>
                <w:t>Consolidated Statements of Comprehensive Loss for the years ended December 31, 2025, 2024, and 2023</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33">
              <w:r>
                <w:rPr>
                  <w:rStyle w:val="InternetLink"/>
                  <w:rFonts w:ascii="Times New Roman;serif" w:hAnsi="Times New Roman;serif"/>
                  <w:b w:val="false"/>
                  <w:color w:val="0000FF"/>
                  <w:sz w:val="20"/>
                  <w:u w:val="single"/>
                </w:rPr>
                <w:t>62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36">
              <w:r>
                <w:rPr>
                  <w:rStyle w:val="InternetLink"/>
                  <w:rFonts w:ascii="Times New Roman;serif" w:hAnsi="Times New Roman;serif"/>
                  <w:b w:val="false"/>
                  <w:color w:val="0000FF"/>
                  <w:sz w:val="20"/>
                  <w:u w:val="single"/>
                </w:rPr>
                <w:t>Consolidated Statements of Changes in Stockholders’ Equity for the years ended December 31, 2025, 2024, and 2023</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36">
              <w:r>
                <w:rPr>
                  <w:rStyle w:val="InternetLink"/>
                  <w:rFonts w:ascii="Times New Roman;serif" w:hAnsi="Times New Roman;serif"/>
                  <w:b w:val="false"/>
                  <w:color w:val="0000FF"/>
                  <w:sz w:val="20"/>
                  <w:u w:val="single"/>
                </w:rPr>
                <w:t>63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39">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39">
              <w:r>
                <w:rPr>
                  <w:rStyle w:val="InternetLink"/>
                  <w:rFonts w:ascii="Times New Roman;serif" w:hAnsi="Times New Roman;serif"/>
                  <w:b w:val="false"/>
                  <w:color w:val="0000FF"/>
                  <w:sz w:val="20"/>
                  <w:u w:val="single"/>
                </w:rPr>
                <w:t>64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494480e6146a1a6acab9187fe13be_142">
              <w:r>
                <w:rPr>
                  <w:rStyle w:val="InternetLink"/>
                  <w:rFonts w:ascii="Times New Roman;serif" w:hAnsi="Times New Roman;serif"/>
                  <w:b w:val="false"/>
                  <w:color w:val="0000FF"/>
                  <w:sz w:val="20"/>
                  <w:u w:val="single"/>
                </w:rPr>
                <w:t>Notes to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a494480e6146a1a6acab9187fe13be_142">
              <w:r>
                <w:rPr>
                  <w:rStyle w:val="InternetLink"/>
                  <w:rFonts w:ascii="Times New Roman;serif" w:hAnsi="Times New Roman;serif"/>
                  <w:b w:val="false"/>
                  <w:color w:val="0000FF"/>
                  <w:sz w:val="20"/>
                  <w:u w:val="single"/>
                </w:rPr>
                <w:t>66</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50"/>
        <w:gridCol w:w="2862"/>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applicable, or not required, or because the required information is included in the Consolidated Financial Statements or notes thereto.</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23"/>
        <w:gridCol w:w="2869"/>
        <w:gridCol w:w="4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Including Those Incorporated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exhibits to this Report are listed on the accompanying index to exhibits and are incorporated herein by reference or are filed as part of this annual report on Form 10-K.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elected not to disclose the optional summary information.</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735"/>
        <w:gridCol w:w="2613"/>
        <w:gridCol w:w="371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Stock Purchase Agreement by and among Penn National Gaming, Inc., Barstool Sports, Inc., TCG XII, LLC, TCG Digital Spots, LLC and the Individuals Set Forth on Schedule A, dated as of January 28, 2020 is hereby incorporated by reference to Exhibit 2.1 to the Company’s Current Report on Form 8-K filed on January 29,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Purchase Agreement by and among Tropicana Las Vegas, Inc., Penn National Gaming, Inc., GLP Capital, L.P., Gold Merger Sub, LLC, PA Meadows, LLC, Tropicana LV LLC and, solely for the purposes set forth therein, Gaming and Leisure Properties, Inc., dated as of April 16, 2020 is hereby incorporated by reference to Exhibit 2.1 to the Company’s Current Report on Form 8-K filed on April 20,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Arrangement Agreement by and among Penn National Gaming, Inc., 1317774 B.C. LTD. and Score Media and Gaming Inc., dated as of August 4, 2021 is hereby incorporated by reference to Exhibit 2.1 to the Company’s Current Report on Form 8-K filed on August 5, 2021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Second Amended and Restated Articles of Incorporation of Penn National Gaming, Inc., filed with the Pennsylvania Department of State on October 15, 1996, as amended by the Articles of Amendments to the Amended and Restated Articles of Incorporation filed with the Pennsylvania Department of State on November 13, 1996, July 23, 2001 and December 28, 2007 and the Statement with Respect to Shares of Series C Convertible Preferred Stock of Penn National Gaming, Inc. dated as of January 17, 2013, and the Statement with Respect to Shares of Series D Convertible Preferred Stock of Penn National Gaming, Inc. dated as of February 19, 2020, and as further amended and restated by the Second Amended and Restated Articles of Incorporation of Penn National Gaming, Inc. filed with the Pennsylvania Department of State on June 17, 2021 is hereby incorporated by reference to Exhibit 99.1 to the Company’s Current Report on Form 8-K filed on June 21, 2021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758"/>
        <w:gridCol w:w="2604"/>
        <w:gridCol w:w="370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to its Second Amended and Restated Articles of Incorporation, effective August 4, 2022, is hereby incorporated by reference to Exhibit 3.1 to the Company’s Quarterly Report on Form 10-Q for the quarterly period ended June 30, 2022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Sixth Amended and Restated Bylaws of the Company, is hereby incorporated by reference to Exhibit 3.1 to the Company’s Current Report on Form 8-K filed on December 10, 2025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Statement with Respect to Shares of Series D Convertible Preferred Stock of Penn National Gaming, Inc. is hereby incorporated by reference to Exhibit 3.1 to the Company’s Current Report on Form 8-K filed on February 20,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Specimen certificate for shares of Common Stock, par value of $.01 per share, for Penn National Gaming, Inc. is hereby incorporated by reference to Exhibit 3.6 to the Company’s Quarterly Report on Form 10-Q for the quarterly period ended June 30, 2003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FF"/>
                  <w:sz w:val="20"/>
                  <w:u w:val="single"/>
                </w:rPr>
                <w:t>Indenture, dated as of January 19, 2017 between Penn National Gaming, Inc. and Wells Fargo Bank, N.A., as Trustee, relating to the 5.625% Senior Notes due 2027 is hereby incorporated by reference to Exhibit 4.1 to the Company’s Current Report on Form 8-K filed on January 20, 2017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20"/>
                  <w:u w:val="single"/>
                </w:rPr>
                <w:t>Form of Note for 5.625% Senior Notes due 2027 is hereby incorporated by reference to Exhibit 4.1 to the Company’s Current Report on Form 8-K filed on January 20, 2017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Indenture, dated as of May 14, 2020 between Penn National Gaming, Inc. and Wells Fargo Bank, National Association, as Trustee, is hereby incorporated by reference to Exhibit 4.1 to the Company’s Current Report on Form 8-K filed on May 14,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First Supplemental Indenture, dated as of May 14, 2020 between Penn National Gaming, Inc. and Wells Fargo Bank, National Association, as Trustee, is hereby incorporated by reference to Exhibit 4.2 to the Company’s Current Report on Form 8-K filed on May 14,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Note representing the 2.75% Convertible Senior Notes due 2026 is hereby incorporated by reference to Exhibit 4.2 to the Company’s Current Report on Form 8-K filed on May 14,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Description of Securities is hereby incorporated by reference to Exhibit 4.4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Indenture, dated as of July 1, 2021, between Penn National Gaming, Inc. and Wells Fargo Bank, National Association as Trustee, relating to the 4.125% Senior Notes due 2029 is hereby incorporated by reference to Exhibit 4.1 to the Company’s Current Report on Form 8-K filed on July 1, 2021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Note for 4.125% Senior Notes due 2029 is hereby incorporated by reference to Exhibit 4.1 to the Company’s Current Report on Form 8-K filed on July 1, 2021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Investment Agreement, dated as of August 8, 2023, by and between PENN Entertainment, Inc. and ESPN, Inc., incorporated by reference to Exhibit 4.1 to the Company’s Current Report on Form 8-K filed on August 8,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Warrant, incorporated by reference to Exhibit 4.2 to the Company’s Current Report on Form 8-K filed on August 8,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Registration Rights Agreement, dated as of August 8, 2023, by and between PENN Entertainment, Inc, and ESPN, Inc., incorporated by reference to Exhibit 4.3 to the Company’s Current Report on Form 8-K filed on August 8,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Amendment No. 1 to Investment Agreement, dated as of November 5, 2025, by and between PENN Entertainment, Inc. and ESPN, Inc. is hereby incorporated by reference to Exhibit 4.1 to the Company’s Current Report on Form 8-K filed on November 6, 2025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763"/>
        <w:gridCol w:w="2602"/>
        <w:gridCol w:w="3702"/>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Penn National Gaming, Inc. Deferred Compensation Plan, as amended and restated effective April 4, 2013, as amended by those certain amendments effective November 1, 2013, October 1, 2015, January 1, 2017, April 1, 2020 and October 1, 2020, respectively, is hereby incorporated by reference to Exhibit 10.1 to the Company’s Annual Report on Form 10-K for the year ended December 31,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Penn National Gaming, Inc. 2008 Long Term Incentive Compensation Plan, as amended is hereby incorporated by reference to Exhibit 10.1 to the Company’s Quarterly Report on Form 10-Q for the quarterly period ended March 31, 2017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Non-Qualified Stock Option Certificate for the Penn National Gaming, Inc. 2008 Long Term Incentive Compensation Plan is hereby incorporated by reference to Exhibit 10.33 to the Company’s Annual Report on Form 10-K for the year ended December 31, 2008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Penn National Gaming, Inc. Amended and Restated 2018 Long Term Incentive Compensation Plan, is hereby incorporated by reference to Exhibit B to the Company’s definitive Proxy Statement filed April 23, 2021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Non-Qualified Stock Option Certificate for the Penn National Gaming, Inc. Amended and Restated 2018 Long Term Incentive Compensation Plan is hereby incorporated by reference to Exhibit 10.4 to the Company’s Registration Statement on Form S-8 filed on August 8, 2018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Penn National Gaming, Inc. Performance Share Program II under the Penn National Gaming, Inc. Amended and Restated 2018 Long Term Incentive Compensation Plan is hereby incorporated by reference to Exhibit 10.1 to the Company’s Current Report on Form 8-K filed on February 21,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Notice of Performance Award Terms and Criteria under the Performance Share Programs pursuant to the Penn National Gaming, Inc. Amended and Restated 2018 Long Term Incentive Compensation Plan is hereby incorporated by reference to Exhibit 10.10 to the Company’s Quarterly Report on Form 10-Q for the quarterly period ended March 31, 2020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Electronic Non-Qualified Stock Option Award Agreement under the Penn National Gaming, Inc. Amended and Restated 2018 Long Term Incentive Compensation Plan is hereby incorporated by reference to Exhibit 10.3(h)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Electronic Restricted Stock Award Agreement (2020) under the Penn National Gaming, Inc. Amended and Restated 2018 Long Term Incentive Compensation Plan is hereby incorporated by reference to Exhibit 10.3(i)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Form of Electronic Phantom Stock Unit Award Agreement (cash settled) (2020) under the Penn National Gaming, Inc. Amended and Restated 2018 Long Term Incentive Compensation Plan is hereby incorporated by reference to Exhibit 10.3(j)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Electronic Phantom Stock Unit Award Agreement (stock settled) (2020) under the Penn National Gaming, Inc. Amended and Restated 2018 Long Term Incentive Compensation Plan is hereby incorporated by reference to Exhibit 10.3(k)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Form of Electronic Stock Appreciation Right Award Agreement (2020) under the Penn National Gaming, Inc. Amended and Restated 2018 Long Term Incentive Compensation Plan is hereby incorporated by reference to Exhibit 10.3(l)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Electronic Restricted Stock Unit Award Agreement (2020) under the Penn National Gaming, Inc. Amended and Restated 2018 Long Term Incentive Compensation Plan is hereby incorporated by reference to Exhibit 10.3(m) to the Company’s Annual Report on Form 10-K for the year ended December 31, 2019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Restricted Stock Award Agreement by and between Jay Snowden and Penn National Gaming, Inc., dated as of April 12, 2021 is hereby incorporated by reference to Exhibit 10.2 to the Company’s Quarterly Report on Form 10-Q for the quarterly period ended September 30, 2021 (SEC File No. 000-24206).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6"/>
        <w:gridCol w:w="260"/>
        <w:gridCol w:w="109"/>
        <w:gridCol w:w="109"/>
        <w:gridCol w:w="109"/>
        <w:gridCol w:w="2763"/>
        <w:gridCol w:w="2569"/>
        <w:gridCol w:w="3655"/>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Restricted Stock Unit Award Agreement by and between Jay Snowden and Penn National Gaming, Inc., dated as of April 12, 2021 is hereby incorporated by reference to Exhibit 10.3 to the Company’s Quarterly Report on Form 10-Q for the quarterly period ended September 30, 2021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Penn National Gaming, Inc. 2022 Long Term Incentive Compensation Plan is hereby incorporated by reference to Exhibit 10.1 to the Company’s Current Report on Form 8-K filed on June 10,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Restricted Stock Unit Award Agreement (Stock-Settled) for the Penn National Gaming, Inc. 2022 Long Term Incentive Compensation Plan is hereby incorporated by reference to Exhibit 10.2 to the Company’s Registration Statement on Form S-8 filed on June 15,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20"/>
                  <w:u w:val="single"/>
                </w:rPr>
                <w:t>Form of Restricted Stock Unit Award Agreement (Cash-Settled) for the Penn National Gaming, Inc. 2022 Long Term Incentive Compensation Plan is hereby incorporated by reference to Exhibit 10.3 to the Company’s Registration Statement on Form S-8 filed on June 15,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erif" w:hAnsi="Times New Roman;serif"/>
                  <w:b w:val="false"/>
                  <w:color w:val="0000FF"/>
                  <w:sz w:val="20"/>
                  <w:u w:val="single"/>
                </w:rPr>
                <w:t>Form of Performance Unit Award Agreement for the Penn National Gaming, Inc. 2022 Long Term Incentive Compensation Plan is hereby incorporated by reference to Exhibit 10.4 to the Company’s Registration Statement on Form S-8 filed on June 15,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erif" w:hAnsi="Times New Roman;serif"/>
                  <w:b w:val="false"/>
                  <w:color w:val="0000FF"/>
                  <w:sz w:val="20"/>
                  <w:u w:val="single"/>
                </w:rPr>
                <w:t>Form of Restricted Stock Award Agreement for the Penn National Gaming, Inc. 2022 Long Term Incentive Compensation Plan is hereby incorporated by reference to Exhibit 10.5 to the Company’s Registration Statement on Form S-8 filed on June 15,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FF"/>
                  <w:sz w:val="20"/>
                  <w:u w:val="single"/>
                </w:rPr>
                <w:t>Form of Non-Qualified Stock Option Award Agreement for the Penn National Gaming, Inc. 2022 Long Term Incentive Compensation Plan is hereby incorporated by reference to Exhibit 10.6 to the Company’s Registration Statement on Form S-8 filed on June 15,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erif" w:hAnsi="Times New Roman;serif"/>
                  <w:b w:val="false"/>
                  <w:color w:val="0000FF"/>
                  <w:sz w:val="20"/>
                  <w:u w:val="single"/>
                </w:rPr>
                <w:t>Form of Stock Appreciation Right Award Agreement for the Penn National Gaming, Inc. 2022 Long Term Incentive Compensation Plan is hereby incorporated by reference to Exhibit 10.7 to the Company’s Registration Statement on Form S-8 filed on June 15,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erif" w:hAnsi="Times New Roman;serif"/>
                  <w:b w:val="false"/>
                  <w:color w:val="0000FF"/>
                  <w:sz w:val="20"/>
                  <w:u w:val="single"/>
                </w:rPr>
                <w:t>Executive Agreement dated August 5, 2025, between PENN Entertainment, Inc. and Jay Snowden is hereby incorporated by reference to Exhibit 10.2 to the Company’s Quarterly Report on Form 10-Q for the quarterly period ended June 30,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Executive Agreement, dated February 19, 2024, between PENN Entertainment, Inc. and Felicia Hendrix is hereby incorporated by reference to Exhibit 10.6 to the Company's Annual Report on Form 10-K for the year ended December 31, 2023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erif" w:hAnsi="Times New Roman;serif"/>
                  <w:b w:val="false"/>
                  <w:color w:val="0000FF"/>
                  <w:sz w:val="20"/>
                  <w:u w:val="single"/>
                </w:rPr>
                <w:t>Executive Agreement, dated November 5, 2025, between PENN Entertainment, Inc. and Todd George is hereby incorporated by reference to Exhibit 10.2 to the Company's Quarterly Report on Form 10-Q for the quarterly period ended September 30,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Executive Agreement, dated May 6, 2025, between PENN Entertainment, Inc. and Christopher Rogers is hereby incorporated by reference to Exhibit 10.1 to the Company’s Quarterly Report on Form 10-Q for the quarterly period ended March 31,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erif" w:hAnsi="Times New Roman;serif"/>
                  <w:b w:val="false"/>
                  <w:color w:val="0000FF"/>
                  <w:sz w:val="20"/>
                  <w:u w:val="single"/>
                </w:rPr>
                <w:t>Lease Agreement, dated March 31, 1995 between Wyomissing Professional Center III, LP and Penn National Gaming, Inc., as amended by certain amendments dated April 15, 1997, October 30, 1997, April 23, 1998, November 16, 1999, August 21, 2000, April 5, 2005, November 20, 2007, May 25, 2012, May 12, 2021, and November 10, 2022 is hereby incorporated by reference to Exhibit 10.13 to the Company's Annual Report on Form 10-K for the year ended December 31,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erif" w:hAnsi="Times New Roman;serif"/>
                  <w:b w:val="false"/>
                  <w:color w:val="0000FF"/>
                  <w:sz w:val="20"/>
                  <w:u w:val="single"/>
                </w:rPr>
                <w:t>Lease, dated January 30, 2002 between Wyomissing Professional Center II, LP and Penn National Gaming, Inc. as amended by certain amendments dated May 23, 2002, December 4, 2002, January 29, 2003, October 19, 2010, May 25, 2012, September 1, 2017, and May 12, 2021, respectively, is hereby incorporated by reference to Exhibit 10.13 to the Company’s Annual Report on Form 10-K for the year ended December 31, 2021 (SEC File No. 000-24206).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759"/>
        <w:gridCol w:w="2603"/>
        <w:gridCol w:w="370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Master Lease between GLP Capital L.P. and Penn Tenant LLC dated November 1, 2013 (“PENN Master Lease”) is hereby incorporated by reference to Exhibit 10.1 to the Company’s Current Report on Form 8-K, filed on November 7, 2013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First Amendment to the PENN Master Lease is hereby incorporated by reference to Exhibit 10.2 to the Company’s Quarterly Report on Form 10-Q for the quarterly period ended March 31, 2014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Second Amendment to the PENN Master Lease is hereby incorporated by reference to Exhibit 10.4 to the Company’s Quarterly Report on Form 10-Q for the quarterly period ended June 30, 2014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Third Amendment to the PENN Master Lease is hereby incorporated by reference to Exhibit 10.4 to the Company’s Quarterly Report on Form 10-Q for the quarterly period ended September 30, 2016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Fourth Amendment to the PENN Master Lease is hereby incorporated by reference to Exhibit 10.6 to the Company’s Quarterly Report on Form 10-Q for the quarterly period ended March 31, 2017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Fifth Amendment to the PENN Master Lease is hereby incorporated by reference to Exhibit 10.3 to the Company’s Quarterly Report on Form 10-Q for the quarterly period ended June 30, 2018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Sixth Amendment to the PENN Master Lease is hereby incorporated by reference to Exhibit 10.16 to the Company’s Quarterly Report on Form 10-Q for the quarterly period ended on September 30, 2018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Seventh Amendment to the PENN Master Lease is hereby incorporated by reference to Exhibit 10.17 to the Company’s Quarterly Report on Form 10-Q for the quarterly period ended on September 30, 2018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Eighth Amendment to the PENN Master Lease is hereby incorporated by reference to Exhibit 10.28(h) to the Company’s Annual Report on Form 10-K for the fiscal year ended December 31, 2018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Ninth Amendment to the Penn Master Lease is hereby incorporated by reference to Exhibit 10.14(i) to the Company’s Annual Report on Form 10-K for the year ended December 31, 2021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Master Lease, dated April 28, 2016, by and between PNK Entertainment, Inc. and Pinnacle Entertainment, Inc. (“PNK Master Lease”) is hereby incorporated by reference to Exhibit 2.2 to Pinnacle Entertainment, Inc.’s Current Report on Form 8-K filed on April 28, 2016 (SEC File No. 001-37666).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First Amendment to PNK Master Lease, dated August 29, 2016, by and between Pinnacle MLS, LLC and Gold Merger Sub, LLC is hereby incorporated by reference to Exhibit 2.3 to Pinnacle Entertainment, Inc.’s Quarterly Report on Form 10-Q for the quarterly period ended September 30, 2016 (SEC File No. 001-37666).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Second Amendment to PNK Master Lease, dated October 25, 2016, by and between Pinnacle MLS, LLC and Gold Merger Sub, LLC is hereby incorporated by reference to Exhibit 2.4 to Pinnacle Entertainment, Inc.’s Quarterly Report on Form 10-Q for the quarterly period ended September 30, 2016 (SEC File No. 001-37666).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Third Amendment to PNK Master Lease, dated March 24, 2017, by and between Pinnacle MLS, LLC and Gold Merger Sub, LLC is hereby incorporated by reference to Exhibit 10.1 to Pinnacle Entertainment, Inc.’s Quarterly Report on Form 10-Q for the quarterly period ended March 31, 2017 (SEC File No. 001-37666).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Fourth Amendment to PNK Master Lease, dated as of October 15, 2018, by and between Pinnacle MLS, LLC and Gold Merger Sub, LLC is hereby incorporated by reference to Exhibit 10.6 to the Company’s Current Report on Form 8-K filed on October 15, 2018 (SEC File No. 000-24206).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6"/>
        <w:gridCol w:w="260"/>
        <w:gridCol w:w="109"/>
        <w:gridCol w:w="109"/>
        <w:gridCol w:w="109"/>
        <w:gridCol w:w="2751"/>
        <w:gridCol w:w="2573"/>
        <w:gridCol w:w="3663"/>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Fifth Amendment to PNK Master Lease, dated as of January 14, 2022, by and between Pinnacle MLS, LLC and Gold Merger Sub, LLC is hereby incorporated by reference to Exhibit 10.15(e) to the Company’s Annual Report on Form 10-K for the year ended December 31, 2021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Guarantee of PNK Master Lease, dated as of October 15, 2018, by Penn National Gaming, Inc. is hereby incorporated by reference to Exhibit 10.7 to the Company’s Current Report on Form 8-K filed on October 15, 2018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Lease, dated as of April 16, 2020, by and between Tropicana Land LLC and Tropicana Las Vegas, Inc. is hereby incorporated by reference to Exhibit 2.2 to the Company’s Current Report on Form 8-K filed on April 20, 2020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Second Amended and Restated Credit Agreement, dated as of May 3, 2022, by and among Penn National Gaming, Inc., as borrower, the guarantors from time to time party thereto, the lenders from time to time party thereto, Bank of America, N.A., as administrative agent and as collateral agent., is hereby incorporated by reference to Exhibit 10.3 to the Company’s Quarterly Report on Form 10-Q for the quarterly period ended March 31,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First Amendment, dated as of February 15, 2024, by and among PENN Entertainment, Inc., the guarantors party thereto, the lenders party thereto and Bank of America, N.A., as administrative agent and collateral agent is hereby incorporated by reference to Exhibit 10.17 to the Company’s Annual Report on Form 10-K for the year ended December 31, 2023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Second Amendment, dated as of December 4, 2024, by and among PENN Entertainment, Inc., the guarantors party thereto, the lenders party thereto and Bank of America, N.A., as administrative agent and collateral agent is hereby incorporated by reference to Exhibit 10.1 to the Company’s Current Report on Form 8-K filed on December 4, 2024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Lottery Gaming Facility Management Contract dated August 25, 2009 between the Kansas Lottery and Kansas Entertainment, LLC is hereby incorporated by reference to Exhibit 99.1 to the Company’s Current Report on Form 8-K filed on February 19, 2010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Binding Term Sheet, dated as of October 9, 2022, by and among PENN Entertainment, Inc. and Gaming and Leisure Properties, Inc. is hereby incorporated by reference to Exhibit 10.1 to the Company’s Current Report on Form 8-K filed on October 11,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Amended and Restated PENN Master Lease, dated January 1, 2023, by and among PENN Tenant, LLC and Gaming and Leisure Properties, Inc. is hereby incorporated by reference to Exhibit 10.22 to the Company’s Annual Report on Form 10-K for the year ended December 31,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2023 Master Lease, dated January 1, 2023, by and among PENN Tenant, LLC and Gaming and Leisure Properties, Inc. is hereby incorporated by reference to Exhibit 10.23 to the Company’s Annual Report on Form 10-K for the year ended December 31, 2022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First Amendment to 2023 Master Lease, dated June 2023, by and among PENN Tenant, LLC and Gaming and Leisure Properties, Inc. is hereby incorporated by reference to Exhibit 10.2 to the Company’s Quarterly Report on Form 10-Q for the quarterly period ended March 31,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Second Amendment to 2023 Master Lease, September 14, 2023, by and among PENN Tenant, LLC and Gaming and Leisure Properties, Inc. is hereby incorporated by reference to Exhibit 10.3 to the Company’s Quarterly Report on Form 10-Q for the quarterly period ended March 31,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Third Amendment to 2023 Master Lease, December 19, 2023, by and among PENN Tenant, LLC and Gaming and Leisure Properties, Inc.is hereby incorporated by reference to Exhibit 10.4 to the Company’s Quarterly Report on Form 10-Q for the quarterly period ended March 31,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Fourth Amendment to 2023 Master Lease, July 23, 2024, by and among PENN Tenant, LLC and Gaming and Leisure Properties, Inc .is hereby incorporated by reference to Exhibit 10.5 to the Company’s Quarterly Report on Form 10-Q for the quarterly period ended March 31, 2025 (SEC File No. 000-24206).</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3157"/>
        <w:gridCol w:w="2439"/>
        <w:gridCol w:w="347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PENN Entertainment, Inc. 2022 Long Term Incentive Compensation Plan, as amended, is hereby incorporated by reference to Appendix A to the Company’s Definitive Proxy Statement on Schedule 14A filed on April 28, 2025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Form of Restricted Stock Unit Award Agreement (Stock-Settled) for the PENN Entertainment, Inc. 2022 Long Term Incentive Compensation Plan, as amended is hereby incorporated by reference to Exhibit 10.2 to the Company’s Registration Statement on Form S-8 filed on June 16,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Form of Restricted Stock Unit Award Agreement (Cash-Settled) for the PENN Entertainment, Inc. 2022 Long Term Incentive Compensation Plan, as amended is hereby incorporated by reference to Exhibit 10.3 to the Company’s Registration Statement on Form S-8 filed on June 16,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Form of Performance Unit Award Agreement (Stock-Settled) for the PENN Entertainment, Inc. 2022 Long Term Incentive Compensation Plan, as amended is hereby incorporated by reference to Exhibit 10.1 to the Company’s Quarterly Report on Form 10-Q filed on August 8, 2024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Form of Restricted Stock Award Agreement for the PENN Entertainment, Inc. 2022 Long Term Incentive Compensation Plan, as amended is hereby incorporated by reference to Exhibit 10.5 to the Company’s Registration Statement on Form S-8 filed on June 16,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Form of Non-Qualified Stock Option Award Agreement for the PENN Entertainment, Inc. 2022 Long Term Incentive Compensation Plan, as amended is hereby incorporated by reference to Exhibit 10.6 to the Company’s Registration Statement on Form S-8 filed on June 16,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Form of Non-Qualified Stock Option Certificate for the PENN Entertainment, Inc. 2022 Long Term Incentive Compensation Plan, as amended is hereby incorporated by reference to Exhibit 10.2 to the Company’s Quarterly Report on Form 10-Q filed on August 8, 2024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Form of Stock Appreciation Right Award Agreement for the PENN Entertainment, Inc. 2022 Long Term Incentive Compensation Plan, as amended is hereby incorporated by reference to Exhibit 10.7 to the Company’s Registration Statement on Form S-8 filed on June 16, 2023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Separation Agreement dated January 8, 2026 between PENN Entertainment, Inc. and Todd George is hereby incorporated by reference to Exhibit 10.1 to the Company’s Current Report on Form 8-K filed on January 9, 2026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80"/>
                  <w:sz w:val="20"/>
                  <w:u w:val="single"/>
                </w:rPr>
                <w:t>Cooperation Agreement</w:t>
              </w:r>
            </w:hyperlink>
            <w:hyperlink r:id="rId90">
              <w:r>
                <w:rPr>
                  <w:rStyle w:val="InternetLink"/>
                  <w:rFonts w:ascii="Times New Roman;serif" w:hAnsi="Times New Roman;serif"/>
                  <w:b w:val="false"/>
                  <w:color w:val="000080"/>
                  <w:sz w:val="20"/>
                  <w:u w:val="single"/>
                </w:rPr>
                <w:t xml:space="preserve"> </w:t>
              </w:r>
            </w:hyperlink>
            <w:hyperlink r:id="rId91">
              <w:r>
                <w:rPr>
                  <w:rStyle w:val="InternetLink"/>
                  <w:rFonts w:ascii="Times New Roman;serif" w:hAnsi="Times New Roman;serif"/>
                  <w:b w:val="false"/>
                  <w:color w:val="000080"/>
                  <w:sz w:val="20"/>
                  <w:u w:val="single"/>
                </w:rPr>
                <w:t>dated February 22, 2026, by and between the Company and HG Vora</w:t>
              </w:r>
            </w:hyperlink>
            <w:hyperlink r:id="rId92">
              <w:r>
                <w:rPr>
                  <w:rStyle w:val="InternetLink"/>
                  <w:rFonts w:ascii="Times New Roman;serif" w:hAnsi="Times New Roman;serif"/>
                  <w:b w:val="false"/>
                  <w:color w:val="000080"/>
                  <w:sz w:val="20"/>
                  <w:u w:val="single"/>
                </w:rPr>
                <w:t xml:space="preserve"> is hereby incor</w:t>
              </w:r>
            </w:hyperlink>
            <w:hyperlink r:id="rId93">
              <w:r>
                <w:rPr>
                  <w:rStyle w:val="InternetLink"/>
                  <w:rFonts w:ascii="Times New Roman;serif" w:hAnsi="Times New Roman;serif"/>
                  <w:b w:val="false"/>
                  <w:color w:val="000080"/>
                  <w:sz w:val="20"/>
                  <w:u w:val="single"/>
                </w:rPr>
                <w:t xml:space="preserve">porated by reference </w:t>
              </w:r>
            </w:hyperlink>
            <w:hyperlink r:id="rId94">
              <w:r>
                <w:rPr>
                  <w:rStyle w:val="InternetLink"/>
                  <w:rFonts w:ascii="Times New Roman;serif" w:hAnsi="Times New Roman;serif"/>
                  <w:b w:val="false"/>
                  <w:color w:val="000080"/>
                  <w:sz w:val="20"/>
                  <w:u w:val="single"/>
                </w:rPr>
                <w:t xml:space="preserve">to Exhibit </w:t>
              </w:r>
            </w:hyperlink>
            <w:hyperlink r:id="rId95">
              <w:r>
                <w:rPr>
                  <w:rStyle w:val="InternetLink"/>
                  <w:rFonts w:ascii="Times New Roman;serif" w:hAnsi="Times New Roman;serif"/>
                  <w:b w:val="false"/>
                  <w:color w:val="000080"/>
                  <w:sz w:val="20"/>
                  <w:u w:val="single"/>
                </w:rPr>
                <w:t>10</w:t>
              </w:r>
            </w:hyperlink>
            <w:hyperlink r:id="rId96">
              <w:r>
                <w:rPr>
                  <w:rStyle w:val="InternetLink"/>
                  <w:rFonts w:ascii="Times New Roman;serif" w:hAnsi="Times New Roman;serif"/>
                  <w:b w:val="false"/>
                  <w:color w:val="000080"/>
                  <w:sz w:val="20"/>
                  <w:u w:val="single"/>
                </w:rPr>
                <w:t>.1 to the Company’s Current Report on Form 8-K filed on February</w:t>
              </w:r>
            </w:hyperlink>
            <w:hyperlink r:id="rId97">
              <w:r>
                <w:rPr>
                  <w:rStyle w:val="InternetLink"/>
                  <w:rFonts w:ascii="Times New Roman;serif" w:hAnsi="Times New Roman;serif"/>
                  <w:b w:val="false"/>
                  <w:color w:val="000080"/>
                  <w:sz w:val="20"/>
                  <w:u w:val="single"/>
                </w:rPr>
                <w:t xml:space="preserve"> 23</w:t>
              </w:r>
            </w:hyperlink>
            <w:hyperlink r:id="rId98">
              <w:r>
                <w:rPr>
                  <w:rStyle w:val="InternetLink"/>
                  <w:rFonts w:ascii="Times New Roman;serif" w:hAnsi="Times New Roman;serif"/>
                  <w:b w:val="false"/>
                  <w:color w:val="000080"/>
                  <w:sz w:val="20"/>
                  <w:u w:val="single"/>
                </w:rPr>
                <w:t>, 20</w:t>
              </w:r>
            </w:hyperlink>
            <w:hyperlink r:id="rId99">
              <w:r>
                <w:rPr>
                  <w:rStyle w:val="InternetLink"/>
                  <w:rFonts w:ascii="Times New Roman;serif" w:hAnsi="Times New Roman;serif"/>
                  <w:b w:val="false"/>
                  <w:color w:val="000080"/>
                  <w:sz w:val="20"/>
                  <w:u w:val="single"/>
                </w:rPr>
                <w:t>26</w:t>
              </w:r>
            </w:hyperlink>
            <w:hyperlink r:id="rId100">
              <w:r>
                <w:rPr>
                  <w:rStyle w:val="InternetLink"/>
                  <w:rFonts w:ascii="Times New Roman;serif" w:hAnsi="Times New Roman;serif"/>
                  <w:b w:val="false"/>
                  <w:color w:val="000080"/>
                  <w:sz w:val="20"/>
                  <w:u w:val="single"/>
                </w:rPr>
                <w:t xml:space="preserve">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FF"/>
                  <w:sz w:val="20"/>
                  <w:u w:val="single"/>
                </w:rPr>
                <w:t>PENN Entertainment, Inc. Insider Trading Policy is hereby incorporated by reference to Exhibit 19.1 to the Company’s Annual Report on Form 10-K for the year ended December 31, 2024 (SEC File No. 000-24206).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211123125.htm">
              <w:r>
                <w:rPr>
                  <w:rStyle w:val="InternetLink"/>
                  <w:rFonts w:ascii="Times New Roman;serif" w:hAnsi="Times New Roman;serif"/>
                  <w:b w:val="false"/>
                  <w:color w:val="0000FF"/>
                  <w:sz w:val="20"/>
                  <w:u w:val="single"/>
                </w:rPr>
                <w:t>Subsidiaries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231123125.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232123125.htm">
              <w:r>
                <w:rPr>
                  <w:rStyle w:val="InternetLink"/>
                  <w:rFonts w:ascii="Times New Roman;serif" w:hAnsi="Times New Roman;serif"/>
                  <w:b w:val="false"/>
                  <w:color w:val="0000FF"/>
                  <w:sz w:val="20"/>
                  <w:u w:val="single"/>
                </w:rPr>
                <w:t>Consent of PricewaterhouseCoopers LLP,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1123125.htm">
              <w:r>
                <w:rPr>
                  <w:rStyle w:val="InternetLink"/>
                  <w:rFonts w:ascii="Times New Roman;serif" w:hAnsi="Times New Roman;serif"/>
                  <w:b w:val="false"/>
                  <w:color w:val="0000FF"/>
                  <w:sz w:val="20"/>
                  <w:u w:val="single"/>
                </w:rPr>
                <w:t>CEO Certification pursuant to rule 13a-14(a) or 15d-14(a) of the Securities Exchange Act of 1934.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2123125.htm">
              <w:r>
                <w:rPr>
                  <w:rStyle w:val="InternetLink"/>
                  <w:rFonts w:ascii="Times New Roman;serif" w:hAnsi="Times New Roman;serif"/>
                  <w:b w:val="false"/>
                  <w:color w:val="0000FF"/>
                  <w:sz w:val="20"/>
                  <w:u w:val="single"/>
                </w:rPr>
                <w:t>PFO Certification pursuant to rule 13a-14(a) or 15d-14(a) of the Securities Exchange Act of 1934.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1123125.htm">
              <w:r>
                <w:rPr>
                  <w:rStyle w:val="InternetLink"/>
                  <w:rFonts w:ascii="Times New Roman;serif" w:hAnsi="Times New Roman;serif"/>
                  <w:b w:val="false"/>
                  <w:color w:val="0000FF"/>
                  <w:sz w:val="20"/>
                  <w:u w:val="single"/>
                </w:rPr>
                <w:t>CEO Certification pursuant to 18 U.S.C. Section 1350, As Adopted Pursuant to Section 906 of The Sarbanes</w:t>
                <w:noBreakHyphen/>
                <w:t xml:space="preserve"> 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2123125.htm">
              <w:r>
                <w:rPr>
                  <w:rStyle w:val="InternetLink"/>
                  <w:rFonts w:ascii="Times New Roman;serif" w:hAnsi="Times New Roman;serif"/>
                  <w:b w:val="false"/>
                  <w:color w:val="0000FF"/>
                  <w:sz w:val="20"/>
                  <w:u w:val="single"/>
                </w:rPr>
                <w:t>PFO Certification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971123125.htm">
              <w:r>
                <w:rPr>
                  <w:rStyle w:val="InternetLink"/>
                  <w:rFonts w:ascii="Times New Roman;serif" w:hAnsi="Times New Roman;serif"/>
                  <w:b w:val="false"/>
                  <w:color w:val="000080"/>
                  <w:sz w:val="20"/>
                  <w:u w:val="single"/>
                </w:rPr>
                <w:t>Executive Incentive Compensation Recoupment Policy</w:t>
              </w:r>
            </w:hyperlink>
            <w:hyperlink w:anchor="pennex971123125.htm">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991123125.htm">
              <w:r>
                <w:rPr>
                  <w:rStyle w:val="InternetLink"/>
                  <w:rFonts w:ascii="Times New Roman;serif" w:hAnsi="Times New Roman;serif"/>
                  <w:b w:val="false"/>
                  <w:color w:val="0000FF"/>
                  <w:sz w:val="20"/>
                  <w:u w:val="single"/>
                </w:rPr>
                <w:t>Description of Governmental Regulation.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c1a494480e6146a1a6acab9187fe13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5"/>
        <w:gridCol w:w="269"/>
        <w:gridCol w:w="271"/>
        <w:gridCol w:w="109"/>
        <w:gridCol w:w="109"/>
        <w:gridCol w:w="109"/>
        <w:gridCol w:w="2711"/>
        <w:gridCol w:w="2611"/>
        <w:gridCol w:w="3711"/>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 </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Annexes, schedules and/or portions of exhibit have been omitted pursuant to Items 601(a)(5), 601(b)(2) or 601(b)(10) of Regulation S-K, as applicable.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100" w:after="60"/>
        <w:jc w:val="left"/>
        <w:rPr/>
      </w:pPr>
      <w:hyperlink w:anchor="ic1a494480e6146a1a6acab9187fe13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893"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34"/>
        <w:gridCol w:w="134"/>
        <w:gridCol w:w="136"/>
        <w:gridCol w:w="949"/>
        <w:gridCol w:w="949"/>
        <w:gridCol w:w="134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ENTERTAINMENT, INC.</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617" w:type="dxa"/>
        <w:jc w:val="left"/>
        <w:tblInd w:w="0" w:type="dxa"/>
        <w:tblLayout w:type="fixed"/>
        <w:tblCellMar>
          <w:top w:w="28" w:type="dxa"/>
          <w:left w:w="28" w:type="dxa"/>
          <w:bottom w:w="28" w:type="dxa"/>
          <w:right w:w="28" w:type="dxa"/>
        </w:tblCellMar>
      </w:tblPr>
      <w:tblGrid>
        <w:gridCol w:w="699"/>
        <w:gridCol w:w="615"/>
        <w:gridCol w:w="620"/>
        <w:gridCol w:w="109"/>
        <w:gridCol w:w="109"/>
        <w:gridCol w:w="109"/>
        <w:gridCol w:w="1458"/>
        <w:gridCol w:w="1458"/>
        <w:gridCol w:w="1478"/>
        <w:gridCol w:w="109"/>
        <w:gridCol w:w="109"/>
        <w:gridCol w:w="109"/>
        <w:gridCol w:w="477"/>
        <w:gridCol w:w="477"/>
        <w:gridCol w:w="681"/>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Jay A. Snowden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Jay A. Snowden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Felicia R. Hendrix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Felicia R. Hendrix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Handler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Board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A. Handler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Heather 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Vimla Black-Gupta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Vimla Black-Gupta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Anuj Dhanda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Anuj Dhanda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Jeffrey Fox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Johnny Hartnett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Johnny Hartnett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Marla Kaplowitz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Marla Kaplowitz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Carlos Ruisanchez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Carlos Ruisanchez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 Scaccetti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Jane Scaccetti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Fabio Schiavolin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Subsidiaries of PENN Entertainment, Inc. (a Pennsylvania corporation)</w:t>
      </w:r>
    </w:p>
    <w:tbl>
      <w:tblPr>
        <w:tblW w:w="9179" w:type="dxa"/>
        <w:jc w:val="left"/>
        <w:tblInd w:w="0" w:type="dxa"/>
        <w:tblLayout w:type="fixed"/>
        <w:tblCellMar>
          <w:top w:w="28" w:type="dxa"/>
          <w:left w:w="28" w:type="dxa"/>
          <w:bottom w:w="28" w:type="dxa"/>
          <w:right w:w="28" w:type="dxa"/>
        </w:tblCellMar>
      </w:tblPr>
      <w:tblGrid>
        <w:gridCol w:w="2104"/>
        <w:gridCol w:w="1848"/>
        <w:gridCol w:w="1853"/>
        <w:gridCol w:w="988"/>
        <w:gridCol w:w="988"/>
        <w:gridCol w:w="1398"/>
      </w:tblGrid>
      <w:tr>
        <w:trPr/>
        <w:tc>
          <w:tcPr>
            <w:tcW w:w="210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Subsidiary</w:t>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1317769 B.C. Ltd.</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British Columbia, Canada</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1317774 B.C. Ltd.</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British Columbia, Canada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Abradoodle, LLC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Absolute Games,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ACE Gaming, LLC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Casino, LLC (d/b/a Argosy Casino Alton)</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Casino Black Hawk, LLC (d/b/a Ameristar Black Hawk)</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Colorado</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Casino Council Bluffs, LLC (d/b/a Ameristar Council Bluffs)</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Iowa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Casino East Chicago, LLC (d/b/a Ameristar East Chicago)</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 Holdings,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Interactive, LLC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Lake Charles Holdings,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Development, LLC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BCV (Intermediate),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BetSEQNZR, Inc.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 Interactive,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LLC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Casino Venture,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BSLO, LLC (d/b/a Hollywood Casino Gulf Coast)</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Mississippi</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BTN, LLC (d/b/a Boomtown Biloxi)</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Mississippi</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Cactus Pete’s, LLC (d/b/a Cactus Petes and Horseshu)</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Casino Magic,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Minnesota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Casino Magic (Europe) B.V.</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Netherlands</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Casino Magic Hellas Management Services S.A.</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Greek entity</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CCR Pennsylvania Food Service, Inc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CCR Racing Management</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Central Ohio Gaming Ventures, LLC (d/b/a Hollywood Casino Columbus)</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Ohio</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CHC Casinos Canada Limited</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Nova Scotia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CHC Casinos Corp.</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Florida</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CRC Holdings, Inc.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Florida</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Real Estate Ventures, LLC (d/b/a Hollywood Gaming at Dayton Raceway)</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Ohio</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Delvest, LLC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Double Bogey, LLC</w:t>
            </w:r>
          </w:p>
        </w:tc>
        <w:tc>
          <w:tcPr>
            <w:tcW w:w="337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580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eBetUSA.com, Inc.</w:t>
            </w:r>
          </w:p>
        </w:tc>
        <w:tc>
          <w:tcPr>
            <w:tcW w:w="337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Jackpot Interactive, LLC</w:t>
            </w:r>
          </w:p>
        </w:tc>
        <w:tc>
          <w:tcPr>
            <w:tcW w:w="3374" w:type="dxa"/>
            <w:gridSpan w:val="3"/>
            <w:tcBorders>
              <w:left w:val="single" w:sz="2" w:space="0" w:color="9CC2E5"/>
            </w:tcBorders>
            <w:shd w:fill="CCEEFF" w:val="clear"/>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5805" w:type="dxa"/>
            <w:gridSpan w:val="3"/>
            <w:tcBorders>
              <w:top w:val="single" w:sz="2" w:space="0" w:color="9CC2E5"/>
              <w:bottom w:val="single" w:sz="2" w:space="0" w:color="9CC2E5"/>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 Park Food Service, Inc.</w:t>
            </w:r>
          </w:p>
        </w:tc>
        <w:tc>
          <w:tcPr>
            <w:tcW w:w="3374" w:type="dxa"/>
            <w:gridSpan w:val="3"/>
            <w:tcBorders>
              <w:top w:val="single" w:sz="2" w:space="0" w:color="9CC2E5"/>
              <w:left w:val="single" w:sz="2" w:space="0" w:color="9CC2E5"/>
              <w:bottom w:val="single" w:sz="2" w:space="0" w:color="9CC2E5"/>
            </w:tcBorders>
            <w:shd w:fill="FFFFF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0"/>
        <w:gridCol w:w="2844"/>
        <w:gridCol w:w="2878"/>
        <w:gridCol w:w="351"/>
        <w:gridCol w:w="351"/>
        <w:gridCol w:w="381"/>
      </w:tblGrid>
      <w:tr>
        <w:trPr/>
        <w:tc>
          <w:tcPr>
            <w:tcW w:w="3400"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 Park Racing, L.P.</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 Park Services, L.P.</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Freehold Raceway Off Track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Front Range Entertainment District,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Colorado</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Gaming Jet Services,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Greektown Casino,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Michigan</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Greektown Holdings,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Michigan</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GS Park Racing, L.P.</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Hammond Apartments, LP</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Missouri</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HC Aurora, LLC (d/b/a Hollywood Casino Aurora)</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HC Bangor, LLC (d/b/a Hollywood Casino Hotel &amp; Raceway Bangor)</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Maine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HC Joliet, LLC (d/b/a Hollywood Casino Joliet)</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Hill Lane,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HitPoint Inc.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Casinos,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Hostile Grape Development,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Gaming Ventures, Inc.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Operating Ventures,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HWCC-Tunica, LLC (d/b/a Hollywood Casino Tunica)</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 Gaming Investors LLC (d/b/a Prairie State Gaming)</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 Gaming Company, LLC (d/b/a Hollywood Casino Lawrenceburg)</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iPro, Inc.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Entertainment, LLC (d/b/a Hollywood Casino at Kansas Speedway)</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Hotel Development,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 Service,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Laredo Race Park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Interactive,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Louisiana-I Gaming, a Louisiana Partnership in Commendam (d/b/a Boomtown New Orleans)</w:t>
            </w:r>
          </w:p>
        </w:tc>
        <w:tc>
          <w:tcPr>
            <w:tcW w:w="1083" w:type="dxa"/>
            <w:gridSpan w:val="3"/>
            <w:tcBorders>
              <w:left w:val="single" w:sz="2" w:space="0" w:color="9CC2E5"/>
            </w:tcBorders>
            <w:shd w:fill="FFFFFF" w:val="clear"/>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LuckyPoint, Inc.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LVGV, LLC (d/b/a M Resort Spa Casino)</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Magnum Pinnacle Interactive,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Marquee by Penn,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Gaming Ventures, Inc.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Massachusetts Gaming Ventures,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Laurel Racing, Inc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Mountainview Thoroughbred Racing Association, LLC (d/b/a Hollywood Casino at Penn National Race Course, Hollywood Casino York and Hollywood Casino Morgantown)</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9122"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 Account Wagering LLC</w:t>
            </w:r>
          </w:p>
        </w:tc>
        <w:tc>
          <w:tcPr>
            <w:tcW w:w="1083"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9122"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 Gaming Ventures, LLC</w:t>
            </w:r>
          </w:p>
        </w:tc>
        <w:tc>
          <w:tcPr>
            <w:tcW w:w="1083"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9122" w:type="dxa"/>
            <w:gridSpan w:val="3"/>
            <w:tcBorders>
              <w:top w:val="single" w:sz="2" w:space="0" w:color="9CC2E5"/>
              <w:bottom w:val="single" w:sz="2" w:space="0" w:color="9CC2E5"/>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ADW, LLC</w:t>
            </w:r>
          </w:p>
        </w:tc>
        <w:tc>
          <w:tcPr>
            <w:tcW w:w="1083" w:type="dxa"/>
            <w:gridSpan w:val="3"/>
            <w:tcBorders>
              <w:top w:val="single" w:sz="2" w:space="0" w:color="9CC2E5"/>
              <w:left w:val="single" w:sz="2" w:space="0" w:color="9CC2E5"/>
              <w:bottom w:val="single" w:sz="2" w:space="0" w:color="9CC2E5"/>
            </w:tcBorders>
            <w:shd w:fill="CCEEF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tbl>
      <w:tblPr>
        <w:tblW w:w="7844" w:type="dxa"/>
        <w:jc w:val="left"/>
        <w:tblInd w:w="0" w:type="dxa"/>
        <w:tblLayout w:type="fixed"/>
        <w:tblCellMar>
          <w:top w:w="28" w:type="dxa"/>
          <w:left w:w="28" w:type="dxa"/>
          <w:bottom w:w="28" w:type="dxa"/>
          <w:right w:w="28" w:type="dxa"/>
        </w:tblCellMar>
      </w:tblPr>
      <w:tblGrid>
        <w:gridCol w:w="2230"/>
        <w:gridCol w:w="1964"/>
        <w:gridCol w:w="1971"/>
        <w:gridCol w:w="491"/>
        <w:gridCol w:w="491"/>
        <w:gridCol w:w="697"/>
      </w:tblGrid>
      <w:tr>
        <w:trPr/>
        <w:tc>
          <w:tcPr>
            <w:tcW w:w="223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Cecil Maryland, LLC (d/b/a Hollywood Casino Perryville)</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Entertainment, Inc.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Hollywood Kansas, Inc.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Interactive FTP,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Interactive Ventures, LLC</w:t>
            </w:r>
          </w:p>
        </w:tc>
        <w:tc>
          <w:tcPr>
            <w:tcW w:w="1679" w:type="dxa"/>
            <w:gridSpan w:val="3"/>
            <w:tcBorders>
              <w:left w:val="single" w:sz="2" w:space="0" w:color="9CC2E5"/>
            </w:tcBorders>
            <w:shd w:fill="FFFFFF" w:val="clear"/>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Maryland OSB, LLC</w:t>
            </w:r>
          </w:p>
        </w:tc>
        <w:tc>
          <w:tcPr>
            <w:tcW w:w="1679" w:type="dxa"/>
            <w:gridSpan w:val="3"/>
            <w:tcBorders>
              <w:left w:val="single" w:sz="2" w:space="0" w:color="9CC2E5"/>
            </w:tcBorders>
            <w:shd w:fill="CCEEFF" w:val="clear"/>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National GSFR,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National Holdings,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National Turf Club, LLC (d/b/a Hollywood Casino at Penn National Race Course)</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NJ OTW,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Online Entertainment,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Sanford, LLC (d/b/a Sanford-Orlando Kennel Club)</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Sports Interactive,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Tenant II,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Tenant III,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 Tenant,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Pennwood Racing, Inc.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PHK Staffing,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Entertainment, Inc.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MLS,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Retama Partners, LLC (d/b/a Retama Park Racetrack)</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PIV West,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Plainville Gaming and Redevelopment, LLC (d/b/a Plainridge Park Casino)</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PM Texas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PNGI Charles Town Gaming, LLC (d/b/a Hollywood Casino at Charles Town Races)</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Virginia</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(Baton Rouge) Partnership (d/b/a L’Auberge Baton Rouge)</w:t>
            </w:r>
          </w:p>
        </w:tc>
        <w:tc>
          <w:tcPr>
            <w:tcW w:w="1679" w:type="dxa"/>
            <w:gridSpan w:val="3"/>
            <w:tcBorders>
              <w:left w:val="single" w:sz="2" w:space="0" w:color="9CC2E5"/>
            </w:tcBorders>
            <w:shd w:fill="CCEEFF" w:val="clear"/>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(BOSSIER CITY), L.L.C. (d/b/a Boomtown Bossier City)</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(Kansas), LLC</w:t>
            </w:r>
          </w:p>
        </w:tc>
        <w:tc>
          <w:tcPr>
            <w:tcW w:w="1679"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(LAKE CHARLES), L.L.C. (d/b/a L’Auberge Lake Charles)</w:t>
            </w:r>
          </w:p>
        </w:tc>
        <w:tc>
          <w:tcPr>
            <w:tcW w:w="1679" w:type="dxa"/>
            <w:gridSpan w:val="3"/>
            <w:tcBorders>
              <w:left w:val="single" w:sz="2" w:space="0" w:color="9CC2E5"/>
            </w:tcBorders>
            <w:shd w:fill="FFFFFF" w:val="clear"/>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Louisiana</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(River City), LLC (d/b/a River City Casino)</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Missouri</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(SA),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(SAM),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(SAZ),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(VN), Inc.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Cayman Islands Corp.</w:t>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7, LLC (d/b/a Heartland Poker Tour)</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8,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9, LLC</w:t>
            </w:r>
          </w:p>
        </w:tc>
        <w:tc>
          <w:tcPr>
            <w:tcW w:w="1679"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616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11, LLC</w:t>
            </w:r>
          </w:p>
        </w:tc>
        <w:tc>
          <w:tcPr>
            <w:tcW w:w="1679"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r>
        <w:trPr/>
        <w:tc>
          <w:tcPr>
            <w:tcW w:w="6165" w:type="dxa"/>
            <w:gridSpan w:val="3"/>
            <w:tcBorders>
              <w:top w:val="single" w:sz="2" w:space="0" w:color="9CC2E5"/>
              <w:bottom w:val="single" w:sz="2" w:space="0" w:color="9CC2E5"/>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17, LLC</w:t>
            </w:r>
          </w:p>
        </w:tc>
        <w:tc>
          <w:tcPr>
            <w:tcW w:w="1679" w:type="dxa"/>
            <w:gridSpan w:val="3"/>
            <w:tcBorders>
              <w:top w:val="single" w:sz="2" w:space="0" w:color="9CC2E5"/>
              <w:left w:val="single" w:sz="2" w:space="0" w:color="9CC2E5"/>
              <w:bottom w:val="single" w:sz="2" w:space="0" w:color="9CC2E5"/>
            </w:tcBorders>
            <w:shd w:fill="FFFFF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tbl>
      <w:tblPr>
        <w:tblW w:w="9479" w:type="dxa"/>
        <w:jc w:val="left"/>
        <w:tblInd w:w="0" w:type="dxa"/>
        <w:tblLayout w:type="fixed"/>
        <w:tblCellMar>
          <w:top w:w="28" w:type="dxa"/>
          <w:left w:w="28" w:type="dxa"/>
          <w:bottom w:w="28" w:type="dxa"/>
          <w:right w:w="28" w:type="dxa"/>
        </w:tblCellMar>
      </w:tblPr>
      <w:tblGrid>
        <w:gridCol w:w="2581"/>
        <w:gridCol w:w="2265"/>
        <w:gridCol w:w="2279"/>
        <w:gridCol w:w="687"/>
        <w:gridCol w:w="687"/>
        <w:gridCol w:w="980"/>
      </w:tblGrid>
      <w:tr>
        <w:trPr/>
        <w:tc>
          <w:tcPr>
            <w:tcW w:w="2581"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18, LLC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Development 33,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PNK Vicksburg, LLC (d/b/a Ameristar Vicksburg)</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Mississippi</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RIH Acquisitions MS II, LLC (d/b/a 1st Jackpot Casino Tunica)</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Mississippi</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Rocket Speed, Inc.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 Houston Race Park LLC (d/b/a Sam Houston Race Park)</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Gaming Ventures, LLC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Score Digital Sports Ventures, Inc.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Score Fantasy Sports Ltd.</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Score Media and Gaming Inc.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British Columbia, Canada Corp.</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ScoreMobile Inc.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SDSV (Delaware) Inc.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SDSV (Gibraltar) Limited</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Gibraltar</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Silver Screen Gaming,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SOKC, LLC (d/b/a Sanford-Orlando Kennel Club)</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Gaming Ventures, LLC (d/b/a Hollywood Casino St. Louis)</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Missouri Gaming Company, LLC (d/b/a Argosy Casino Riverside)</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Missouri</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Gaming Ventures, LLC (d/b/a Hollywood Casino Toledo)</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Valley Race Park LLC (d/b/a Valley Race Park)</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VG Beverage, Inc.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VGB Management, LLC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VGB Operations,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Texas</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Villaggio Development, LLC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Viva Slots Free Classic Slot Machine Games,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Trotting Association, LLC (d/b/a Meadows Racetrack and Casino)</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Western PA Gaming Ventures,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WSI US, LLC</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Yankton Investments,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Nevada</w:t>
            </w:r>
          </w:p>
        </w:tc>
      </w:tr>
      <w:tr>
        <w:trPr/>
        <w:tc>
          <w:tcPr>
            <w:tcW w:w="7125" w:type="dxa"/>
            <w:gridSpan w:val="3"/>
            <w:tcBorders>
              <w:top w:val="single" w:sz="2" w:space="0" w:color="9CC2E5"/>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Real Estate Ventures, LLC (d/b/a Hollywood Gaming at Mahoning Valley Race Course)</w:t>
            </w:r>
          </w:p>
        </w:tc>
        <w:tc>
          <w:tcPr>
            <w:tcW w:w="2354" w:type="dxa"/>
            <w:gridSpan w:val="3"/>
            <w:tcBorders>
              <w:top w:val="single" w:sz="2" w:space="0" w:color="9CC2E5"/>
              <w:left w:val="single" w:sz="2" w:space="0" w:color="9CC2E5"/>
            </w:tcBorders>
            <w:shd w:fill="CCEE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Ohio</w:t>
            </w:r>
          </w:p>
        </w:tc>
      </w:tr>
      <w:tr>
        <w:trPr/>
        <w:tc>
          <w:tcPr>
            <w:tcW w:w="7125" w:type="dxa"/>
            <w:gridSpan w:val="3"/>
            <w:tcBorders>
              <w:top w:val="single" w:sz="2" w:space="0" w:color="9CC2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Interactive, LLC</w:t>
            </w:r>
          </w:p>
        </w:tc>
        <w:tc>
          <w:tcPr>
            <w:tcW w:w="2354" w:type="dxa"/>
            <w:gridSpan w:val="3"/>
            <w:tcBorders>
              <w:top w:val="single" w:sz="2" w:space="0" w:color="9CC2E5"/>
              <w:left w:val="single" w:sz="2" w:space="0" w:color="9CC2E5"/>
            </w:tcBorders>
            <w:shd w:fill="FFFFF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r>
        <w:trPr/>
        <w:tc>
          <w:tcPr>
            <w:tcW w:w="7125" w:type="dxa"/>
            <w:gridSpan w:val="3"/>
            <w:tcBorders>
              <w:top w:val="single" w:sz="2" w:space="0" w:color="9CC2E5"/>
              <w:bottom w:val="single" w:sz="2" w:space="0" w:color="9CC2E5"/>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LLC (d/b/a Zia Park Casino, Hotel and Racetrack)</w:t>
            </w:r>
          </w:p>
        </w:tc>
        <w:tc>
          <w:tcPr>
            <w:tcW w:w="2354" w:type="dxa"/>
            <w:gridSpan w:val="3"/>
            <w:tcBorders>
              <w:top w:val="single" w:sz="2" w:space="0" w:color="9CC2E5"/>
              <w:left w:val="single" w:sz="2" w:space="0" w:color="9CC2E5"/>
              <w:bottom w:val="single" w:sz="2" w:space="0" w:color="9CC2E5"/>
            </w:tcBorders>
            <w:shd w:fill="CCEEF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456" w:before="0" w:after="1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CONSENT OF INDEPENDENT REGISTERED PUBLIC ACCOUNTING FIRM</w:t>
      </w:r>
    </w:p>
    <w:p>
      <w:pPr>
        <w:pStyle w:val="TextBody"/>
        <w:bidi w:val="0"/>
        <w:spacing w:lineRule="auto" w:line="288" w:before="200" w:after="200"/>
        <w:ind w:left="0" w:right="0" w:firstLine="360"/>
        <w:jc w:val="left"/>
        <w:rPr/>
      </w:pPr>
      <w:r>
        <w:rPr>
          <w:rFonts w:ascii="Times New Roman;serif" w:hAnsi="Times New Roman;serif"/>
          <w:b w:val="false"/>
          <w:color w:val="000000"/>
          <w:sz w:val="22"/>
          <w:shd w:fill="FFFFFF" w:val="clear"/>
        </w:rPr>
        <w:t xml:space="preserve">We consent to the incorporation by reference in Registration Statement Nos. 333-272723, 333-265637, 333-260361, 333-222936, 333-226661, 333-198135, 333-176723, 333-157669, and 333-289386 on Form S-8 and Registration Statements Nos. 333-271825 and 333-282725 on Form S-3 of our report dated </w:t>
      </w:r>
      <w:r>
        <w:rPr>
          <w:rFonts w:ascii="Times New Roman;serif" w:hAnsi="Times New Roman;serif"/>
          <w:b w:val="false"/>
          <w:color w:val="000000"/>
          <w:sz w:val="22"/>
        </w:rPr>
        <w:t>February 22, 2024 (February 27, 2025 as to Note 17), relating to the consolidated financial statements of PENN Entertainment, Inc. and subsidiaries, appearing in this Annual Report on Form 10-K for the year ended December 31, 2025.</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Philadelphia, Pennsylvania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23.2</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lineRule="auto" w:line="288" w:before="0" w:after="200"/>
        <w:ind w:left="0" w:right="0" w:firstLine="450"/>
        <w:jc w:val="left"/>
        <w:rPr/>
      </w:pPr>
      <w:r>
        <w:rPr>
          <w:rFonts w:ascii="Times New Roman;serif" w:hAnsi="Times New Roman;serif"/>
          <w:b w:val="false"/>
          <w:color w:val="000000"/>
          <w:sz w:val="22"/>
        </w:rPr>
        <w:t>We hereby consent to the incorporation by reference in the Registration Statements on Form</w:t>
      </w:r>
      <w:r>
        <w:rPr>
          <w:color w:val="000000"/>
        </w:rPr>
        <w:t xml:space="preserve"> </w:t>
      </w:r>
      <w:r>
        <w:rPr>
          <w:rFonts w:ascii="Times New Roman;serif" w:hAnsi="Times New Roman;serif"/>
          <w:b w:val="false"/>
          <w:color w:val="000000"/>
          <w:sz w:val="22"/>
        </w:rPr>
        <w:t>S-3</w:t>
      </w:r>
      <w:r>
        <w:rPr>
          <w:color w:val="FF0000"/>
        </w:rPr>
        <w:t xml:space="preserve"> </w:t>
      </w:r>
      <w:r>
        <w:rPr>
          <w:rFonts w:ascii="Times New Roman;serif" w:hAnsi="Times New Roman;serif"/>
          <w:b w:val="false"/>
          <w:color w:val="000000"/>
          <w:sz w:val="22"/>
        </w:rPr>
        <w:t>(No. 333-282725 and 333-271825) and Form S-8 (No. 333-272723, 333-265637, 333-260361, 333-222936, 333-226661, 333-198135, 333-176723, 333-157669 and 333-289386) of</w:t>
      </w:r>
      <w:r>
        <w:rPr>
          <w:color w:val="FF0000"/>
        </w:rPr>
        <w:t xml:space="preserve"> </w:t>
      </w:r>
      <w:r>
        <w:rPr>
          <w:rFonts w:ascii="Times New Roman;serif" w:hAnsi="Times New Roman;serif"/>
          <w:b w:val="false"/>
          <w:color w:val="000000"/>
          <w:sz w:val="22"/>
        </w:rPr>
        <w:t>PENN Entertainment, Inc. of our report dated February 26, 2026 relating to the financial statements</w:t>
      </w:r>
      <w:r>
        <w:rPr>
          <w:color w:val="FF0000"/>
        </w:rPr>
        <w:t xml:space="preserve"> </w:t>
      </w:r>
      <w:r>
        <w:rPr>
          <w:rFonts w:ascii="Times New Roman;serif" w:hAnsi="Times New Roman;serif"/>
          <w:b w:val="false"/>
          <w:color w:val="000000"/>
          <w:sz w:val="22"/>
        </w:rPr>
        <w:t>and the effectiveness of internal control over financial reporting, which appears in this Form 10-K.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 PricewaterhouseCoopers LLP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Las Vegas, Nevada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February 26,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200" w:after="200"/>
        <w:jc w:val="center"/>
        <w:rPr>
          <w:rFonts w:ascii="Times New Roman;serif" w:hAnsi="Times New Roman;serif"/>
          <w:b/>
          <w:color w:val="000000"/>
          <w:sz w:val="22"/>
        </w:rPr>
      </w:pPr>
      <w:r>
        <w:rPr>
          <w:rFonts w:ascii="Times New Roman;serif" w:hAnsi="Times New Roman;serif"/>
          <w:b/>
          <w:color w:val="000000"/>
          <w:sz w:val="22"/>
        </w:rPr>
        <w:t>Certification Pursuant to Rule 13a-14(a) of the Securities Exchange Act of 1934</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 Jay A. Snowden, certify that:</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Annual Report on Form 10-K of PENN Entertainment, Inc.;</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7033" w:type="dxa"/>
        <w:jc w:val="left"/>
        <w:tblInd w:w="0" w:type="dxa"/>
        <w:tblLayout w:type="fixed"/>
        <w:tblCellMar>
          <w:top w:w="28" w:type="dxa"/>
          <w:left w:w="28" w:type="dxa"/>
          <w:bottom w:w="28" w:type="dxa"/>
          <w:right w:w="28" w:type="dxa"/>
        </w:tblCellMar>
      </w:tblPr>
      <w:tblGrid>
        <w:gridCol w:w="222"/>
        <w:gridCol w:w="196"/>
        <w:gridCol w:w="197"/>
        <w:gridCol w:w="614"/>
        <w:gridCol w:w="614"/>
        <w:gridCol w:w="616"/>
        <w:gridCol w:w="1339"/>
        <w:gridCol w:w="1339"/>
        <w:gridCol w:w="1896"/>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February 26, 2026</w:t>
            </w:r>
          </w:p>
        </w:tc>
        <w:tc>
          <w:tcPr>
            <w:tcW w:w="45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Jay A. Snowden</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Jay A. Snowden</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Chief Executive Officer, President and Director</w:t>
            </w:r>
          </w:p>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Certification Pursuant to Rule 13a-14(a) of the Securities Exchange Act of 1934</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I, Felicia R. Hendrix, certify that:</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Annual Report on Form 10-K of PENN Entertainment, Inc.;</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tbl>
      <w:tblPr>
        <w:tblW w:w="7558" w:type="dxa"/>
        <w:jc w:val="left"/>
        <w:tblInd w:w="0" w:type="dxa"/>
        <w:tblLayout w:type="fixed"/>
        <w:tblCellMar>
          <w:top w:w="28" w:type="dxa"/>
          <w:left w:w="28" w:type="dxa"/>
          <w:bottom w:w="28" w:type="dxa"/>
          <w:right w:w="28" w:type="dxa"/>
        </w:tblCellMar>
      </w:tblPr>
      <w:tblGrid>
        <w:gridCol w:w="222"/>
        <w:gridCol w:w="196"/>
        <w:gridCol w:w="197"/>
        <w:gridCol w:w="614"/>
        <w:gridCol w:w="614"/>
        <w:gridCol w:w="616"/>
        <w:gridCol w:w="1491"/>
        <w:gridCol w:w="1491"/>
        <w:gridCol w:w="2117"/>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February 26, 2026</w:t>
            </w:r>
          </w:p>
        </w:tc>
        <w:tc>
          <w:tcPr>
            <w:tcW w:w="5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Felicia R. Hendrix</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Felicia R. Hendrix</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CERTIFICATION OF CHIEF EXECUTIVE OFFICER</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CERTIFICATION PURSUANT TO</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18 U.S.C. SECTION 1350,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AS ADOPTED PURSUANT TO</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SECTION 906 OF THE SARBANES-OXLEY ACT OF 2002</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In connection with the Annual Report of PENN Entertainment, Inc. (the “Company”) on Form 10-K for the fiscal year ended December 31, 2025 as filed with the Securities and Exchange Commission on the date hereof (the “Report”), I, Jay A. Snowden, Chief Executive Officer and President of the Company, certify, pursuant to 18 U.S.C. § 1350, as adopted pursuant to § 906 of the Sarbanes-Oxley Act of 2002, that:</w:t>
      </w:r>
    </w:p>
    <w:p>
      <w:pPr>
        <w:pStyle w:val="TextBody"/>
        <w:bidi w:val="0"/>
        <w:spacing w:lineRule="auto" w:line="288"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lineRule="auto" w:line="288"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2"/>
        <w:jc w:val="left"/>
        <w:rPr/>
      </w:pPr>
      <w:r>
        <w:rPr/>
      </w:r>
    </w:p>
    <w:tbl>
      <w:tblPr>
        <w:tblW w:w="7033" w:type="dxa"/>
        <w:jc w:val="left"/>
        <w:tblInd w:w="0" w:type="dxa"/>
        <w:tblLayout w:type="fixed"/>
        <w:tblCellMar>
          <w:top w:w="28" w:type="dxa"/>
          <w:left w:w="28" w:type="dxa"/>
          <w:bottom w:w="28" w:type="dxa"/>
          <w:right w:w="28" w:type="dxa"/>
        </w:tblCellMar>
      </w:tblPr>
      <w:tblGrid>
        <w:gridCol w:w="222"/>
        <w:gridCol w:w="196"/>
        <w:gridCol w:w="197"/>
        <w:gridCol w:w="614"/>
        <w:gridCol w:w="614"/>
        <w:gridCol w:w="616"/>
        <w:gridCol w:w="1339"/>
        <w:gridCol w:w="1339"/>
        <w:gridCol w:w="1896"/>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February 26, 2026</w:t>
            </w:r>
          </w:p>
        </w:tc>
        <w:tc>
          <w:tcPr>
            <w:tcW w:w="45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Jay A. Snowden</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Jay A. Snowden</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Chief Executive Officer, President and Director</w:t>
            </w:r>
          </w:p>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CERTIFICATION OF CHIEF FINANCIAL OFFICER</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CERTIFICATION PURSUANT TO</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18 U.S.C. SECTION 1350,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AS ADOPTED PURSUANT TO</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SECTION 906 OF THE SARBANES-OXLEY ACT OF 2002</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In connection with the Annual Report of PENN Entertainment, Inc. (the “Company”) on Form 10-K for the fiscal year ended December 31, 2025 as filed with the Securities and Exchange Commission on the date hereof (the “Report”), I, Felicia R. Hendrix, Executive Vice President and Chief Financial Officer of the Company, certify, pursuant to 18 U.S.C. § 1350, as adopted pursuant to § 906 of the Sarbanes-Oxley Act of 2002, that:</w:t>
      </w:r>
    </w:p>
    <w:p>
      <w:pPr>
        <w:pStyle w:val="TextBody"/>
        <w:bidi w:val="0"/>
        <w:spacing w:lineRule="auto" w:line="288"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lineRule="auto" w:line="288"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221"/>
        <w:gridCol w:w="195"/>
        <w:gridCol w:w="196"/>
        <w:gridCol w:w="613"/>
        <w:gridCol w:w="613"/>
        <w:gridCol w:w="615"/>
        <w:gridCol w:w="2266"/>
        <w:gridCol w:w="2265"/>
        <w:gridCol w:w="3221"/>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4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February 26, 2026</w:t>
            </w:r>
          </w:p>
        </w:tc>
        <w:tc>
          <w:tcPr>
            <w:tcW w:w="775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Felicia R. Hendrix</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Felicia R. Hendrix</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 (Principal Financial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97.1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tLeast" w:line="230" w:before="0" w:after="0"/>
        <w:jc w:val="center"/>
        <w:rPr>
          <w:rFonts w:ascii="Times New Roman;serif" w:hAnsi="Times New Roman;serif"/>
          <w:b/>
          <w:color w:val="000000"/>
          <w:sz w:val="20"/>
        </w:rPr>
      </w:pPr>
      <w:r>
        <w:rPr>
          <w:rFonts w:ascii="Times New Roman;serif" w:hAnsi="Times New Roman;serif"/>
          <w:b/>
          <w:color w:val="000000"/>
          <w:sz w:val="20"/>
        </w:rPr>
        <w:t xml:space="preserve">PENN ENTERTAINMENT, INC. </w:t>
        <w:br/>
        <w:t xml:space="preserve">EXECUTIVE INCENTIVE COMPENSATION RECOUPMENT POLICY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(Adopted April 25, 2014)</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Last Amended March 12, 2025</w:t>
      </w:r>
    </w:p>
    <w:p>
      <w:pPr>
        <w:pStyle w:val="TextBody"/>
        <w:bidi w:val="0"/>
        <w:spacing w:before="1" w:after="283"/>
        <w:jc w:val="left"/>
        <w:rPr/>
      </w:pPr>
      <w:r>
        <w:rPr/>
      </w:r>
    </w:p>
    <w:p>
      <w:pPr>
        <w:pStyle w:val="TextBody"/>
        <w:bidi w:val="0"/>
        <w:spacing w:lineRule="atLeast" w:line="222" w:before="239" w:after="283"/>
        <w:jc w:val="left"/>
        <w:rPr/>
      </w:pPr>
      <w:r>
        <w:rPr>
          <w:rFonts w:ascii="Times New Roman;serif" w:hAnsi="Times New Roman;serif"/>
          <w:b/>
          <w:color w:val="000000"/>
          <w:sz w:val="20"/>
        </w:rPr>
        <w:t>I.</w:t>
      </w:r>
      <w:r>
        <w:rPr>
          <w:rFonts w:ascii="Times New Roman;serif" w:hAnsi="Times New Roman;serif"/>
          <w:b/>
          <w:color w:val="000000"/>
          <w:sz w:val="20"/>
        </w:rPr>
        <w:t>INTRODUCTION</w:t>
      </w:r>
    </w:p>
    <w:p>
      <w:pPr>
        <w:pStyle w:val="TextBody"/>
        <w:bidi w:val="0"/>
        <w:spacing w:lineRule="atLeast" w:line="230" w:before="229" w:after="283"/>
        <w:ind w:left="0" w:right="0" w:firstLine="432"/>
        <w:jc w:val="both"/>
        <w:rPr/>
      </w:pPr>
      <w:r>
        <w:rPr>
          <w:rFonts w:ascii="Times New Roman;serif" w:hAnsi="Times New Roman;serif"/>
          <w:b w:val="false"/>
          <w:color w:val="000000"/>
          <w:sz w:val="20"/>
        </w:rPr>
        <w:t>The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of PENN Entertainment,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has determined that it is in the best interests of the Company to confirm its policy (the “</w:t>
      </w:r>
      <w:r>
        <w:rPr>
          <w:rFonts w:ascii="Times New Roman;serif" w:hAnsi="Times New Roman;serif"/>
          <w:b w:val="false"/>
          <w:color w:val="000000"/>
          <w:sz w:val="20"/>
          <w:u w:val="single"/>
        </w:rPr>
        <w:t>Policy</w:t>
      </w:r>
      <w:r>
        <w:rPr>
          <w:color w:val="000000"/>
        </w:rPr>
        <w:t>”</w:t>
      </w:r>
      <w:r>
        <w:rPr>
          <w:rFonts w:ascii="Times New Roman;serif" w:hAnsi="Times New Roman;serif"/>
          <w:b w:val="false"/>
          <w:color w:val="000000"/>
          <w:sz w:val="20"/>
        </w:rPr>
        <w:t>) providing for the Company’s recoupment of “Erroneously Awarded Incentive-Based Compensation” (as defined below) received by current or former executive officers of the Company.</w:t>
      </w:r>
    </w:p>
    <w:p>
      <w:pPr>
        <w:pStyle w:val="TextBody"/>
        <w:bidi w:val="0"/>
        <w:spacing w:lineRule="atLeast" w:line="230" w:before="228" w:after="283"/>
        <w:ind w:left="0" w:right="0" w:firstLine="432"/>
        <w:jc w:val="both"/>
        <w:rPr/>
      </w:pPr>
      <w:r>
        <w:rPr>
          <w:rFonts w:ascii="Times New Roman;serif" w:hAnsi="Times New Roman;serif"/>
          <w:b w:val="false"/>
          <w:color w:val="000000"/>
          <w:sz w:val="20"/>
        </w:rPr>
        <w:t>This Policy is intended to comply with, shall be interpreted to comply with, and shall be deemed automatically amended to comply with, Rule 10D-1 adopted under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and the Nasdaq Stock Market LLC (“</w:t>
      </w:r>
      <w:r>
        <w:rPr>
          <w:rFonts w:ascii="Times New Roman;serif" w:hAnsi="Times New Roman;serif"/>
          <w:b w:val="false"/>
          <w:color w:val="000000"/>
          <w:sz w:val="20"/>
          <w:u w:val="single"/>
        </w:rPr>
        <w:t>Nasdaq</w:t>
      </w:r>
      <w:r>
        <w:rPr>
          <w:color w:val="000000"/>
        </w:rPr>
        <w:t>”</w:t>
      </w:r>
      <w:r>
        <w:rPr>
          <w:rFonts w:ascii="Times New Roman;serif" w:hAnsi="Times New Roman;serif"/>
          <w:b w:val="false"/>
          <w:color w:val="000000"/>
          <w:sz w:val="20"/>
        </w:rPr>
        <w:t>) Listing Rule 5608, as such provisions may be amended from time to time, and any related rules, regulations or listing standards promulgated by the Securities and Exchange Commission or Nasdaq, including any additional or new requirements that become effective after the last date that this Policy was amended. Any such amendment shall be effective at such time as is necessary to comply with the applicable listing standards of Nasdaq.</w:t>
      </w:r>
    </w:p>
    <w:p>
      <w:pPr>
        <w:pStyle w:val="TextBody"/>
        <w:bidi w:val="0"/>
        <w:spacing w:lineRule="atLeast" w:line="222" w:before="237" w:after="283"/>
        <w:jc w:val="both"/>
        <w:rPr/>
      </w:pPr>
      <w:r>
        <w:rPr>
          <w:rFonts w:ascii="Times New Roman;serif" w:hAnsi="Times New Roman;serif"/>
          <w:b/>
          <w:color w:val="000000"/>
          <w:sz w:val="20"/>
        </w:rPr>
        <w:t>II.</w:t>
      </w:r>
      <w:r>
        <w:rPr>
          <w:rFonts w:ascii="Times New Roman;serif" w:hAnsi="Times New Roman;serif"/>
          <w:b/>
          <w:color w:val="000000"/>
          <w:sz w:val="20"/>
        </w:rPr>
        <w:t>EFFECTIVE DATE</w:t>
      </w:r>
    </w:p>
    <w:p>
      <w:pPr>
        <w:pStyle w:val="TextBody"/>
        <w:bidi w:val="0"/>
        <w:spacing w:lineRule="atLeast" w:line="230" w:before="234" w:after="283"/>
        <w:ind w:left="0" w:right="0" w:firstLine="432"/>
        <w:jc w:val="both"/>
        <w:rPr/>
      </w:pPr>
      <w:r>
        <w:rPr>
          <w:rFonts w:ascii="Times New Roman;serif" w:hAnsi="Times New Roman;serif"/>
          <w:b w:val="false"/>
          <w:color w:val="000000"/>
          <w:sz w:val="20"/>
        </w:rPr>
        <w:t>This Policy shall apply to all Incentive-Based Compensation (as defined below) paid or awarded on or after the date of adoption of this Policy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w:t>
      </w:r>
    </w:p>
    <w:p>
      <w:pPr>
        <w:pStyle w:val="TextBody"/>
        <w:bidi w:val="0"/>
        <w:spacing w:lineRule="atLeast" w:line="222" w:before="236" w:after="283"/>
        <w:jc w:val="both"/>
        <w:rPr/>
      </w:pPr>
      <w:r>
        <w:rPr>
          <w:rFonts w:ascii="Times New Roman;serif" w:hAnsi="Times New Roman;serif"/>
          <w:b/>
          <w:color w:val="000000"/>
          <w:sz w:val="20"/>
        </w:rPr>
        <w:t>III.</w:t>
      </w:r>
      <w:r>
        <w:rPr>
          <w:rFonts w:ascii="Times New Roman;serif" w:hAnsi="Times New Roman;serif"/>
          <w:b/>
          <w:color w:val="000000"/>
          <w:sz w:val="20"/>
        </w:rPr>
        <w:t>DEFINITIONS</w:t>
      </w:r>
    </w:p>
    <w:p>
      <w:pPr>
        <w:pStyle w:val="TextBody"/>
        <w:bidi w:val="0"/>
        <w:spacing w:lineRule="atLeast" w:line="230" w:before="233" w:after="283"/>
        <w:jc w:val="both"/>
        <w:rPr>
          <w:rFonts w:ascii="Times New Roman;serif" w:hAnsi="Times New Roman;serif"/>
          <w:b w:val="false"/>
          <w:color w:val="000000"/>
          <w:sz w:val="20"/>
        </w:rPr>
      </w:pPr>
      <w:r>
        <w:rPr>
          <w:rFonts w:ascii="Times New Roman;serif" w:hAnsi="Times New Roman;serif"/>
          <w:b w:val="false"/>
          <w:color w:val="000000"/>
          <w:sz w:val="20"/>
        </w:rPr>
        <w:t>For purposes of this Policy, the following terms shall have the meanings set forth below:</w:t>
      </w:r>
    </w:p>
    <w:p>
      <w:pPr>
        <w:pStyle w:val="TextBody"/>
        <w:bidi w:val="0"/>
        <w:spacing w:lineRule="atLeast" w:line="225" w:before="236" w:after="283"/>
        <w:ind w:left="0" w:right="0" w:firstLine="432"/>
        <w:jc w:val="both"/>
        <w:rPr/>
      </w:pPr>
      <w:r>
        <w:rPr>
          <w:color w:val="000000"/>
        </w:rPr>
        <w:t>“</w:t>
      </w:r>
      <w:r>
        <w:rPr>
          <w:rFonts w:ascii="Times New Roman;serif" w:hAnsi="Times New Roman;serif"/>
          <w:b w:val="false"/>
          <w:color w:val="000000"/>
          <w:sz w:val="20"/>
          <w:u w:val="single"/>
        </w:rPr>
        <w:t>Award Recipient</w:t>
      </w:r>
      <w:r>
        <w:rPr>
          <w:color w:val="000000"/>
        </w:rPr>
        <w:t xml:space="preserve">” </w:t>
      </w:r>
      <w:r>
        <w:rPr>
          <w:rFonts w:ascii="Times New Roman;serif" w:hAnsi="Times New Roman;serif"/>
          <w:b w:val="false"/>
          <w:color w:val="000000"/>
          <w:sz w:val="20"/>
        </w:rPr>
        <w:t>shall mean any Covered Officer who is granted or receives any Incentive-Based Compensation or any cash-based or equity or equity-based incentive compensation from the Company (such compensation, “</w:t>
      </w:r>
      <w:r>
        <w:rPr>
          <w:rFonts w:ascii="Times New Roman;serif" w:hAnsi="Times New Roman;serif"/>
          <w:b w:val="false"/>
          <w:color w:val="000000"/>
          <w:sz w:val="20"/>
          <w:u w:val="single"/>
        </w:rPr>
        <w:t>Incentive Compensation</w:t>
      </w:r>
      <w:r>
        <w:rPr>
          <w:color w:val="000000"/>
        </w:rPr>
        <w:t>”</w:t>
      </w:r>
      <w:r>
        <w:rPr>
          <w:rFonts w:ascii="Times New Roman;serif" w:hAnsi="Times New Roman;serif"/>
          <w:b w:val="false"/>
          <w:color w:val="000000"/>
          <w:sz w:val="20"/>
        </w:rPr>
        <w:t xml:space="preserve">). </w:t>
      </w:r>
    </w:p>
    <w:p>
      <w:pPr>
        <w:pStyle w:val="TextBody"/>
        <w:bidi w:val="0"/>
        <w:spacing w:lineRule="atLeast" w:line="225" w:before="236" w:after="283"/>
        <w:ind w:left="0" w:right="0" w:firstLine="432"/>
        <w:jc w:val="both"/>
        <w:rPr/>
      </w:pPr>
      <w:r>
        <w:rPr>
          <w:color w:val="000000"/>
        </w:rPr>
        <w:t>“</w:t>
      </w:r>
      <w:r>
        <w:rPr>
          <w:rFonts w:ascii="Times New Roman;serif" w:hAnsi="Times New Roman;serif"/>
          <w:b w:val="false"/>
          <w:color w:val="000000"/>
          <w:sz w:val="20"/>
          <w:u w:val="single"/>
        </w:rPr>
        <w:t>Covered Officers</w:t>
      </w:r>
      <w:r>
        <w:rPr>
          <w:color w:val="000000"/>
        </w:rPr>
        <w:t xml:space="preserve">” </w:t>
      </w:r>
      <w:r>
        <w:rPr>
          <w:rFonts w:ascii="Times New Roman;serif" w:hAnsi="Times New Roman;serif"/>
          <w:b w:val="false"/>
          <w:color w:val="000000"/>
          <w:sz w:val="20"/>
        </w:rPr>
        <w:t>shall mean “Executive Officers” as such term is defined in Rule 10D-1 adopted under the Exchange Act.</w:t>
      </w:r>
    </w:p>
    <w:p>
      <w:pPr>
        <w:pStyle w:val="TextBody"/>
        <w:bidi w:val="0"/>
        <w:spacing w:lineRule="atLeast" w:line="230" w:before="230" w:after="283"/>
        <w:ind w:left="0" w:right="0" w:firstLine="432"/>
        <w:jc w:val="both"/>
        <w:rPr/>
      </w:pPr>
      <w:r>
        <w:rPr>
          <w:color w:val="000000"/>
        </w:rPr>
        <w:t>“</w:t>
      </w:r>
      <w:r>
        <w:rPr>
          <w:rFonts w:ascii="Times New Roman;serif" w:hAnsi="Times New Roman;serif"/>
          <w:b w:val="false"/>
          <w:color w:val="000000"/>
          <w:sz w:val="20"/>
          <w:u w:val="single"/>
        </w:rPr>
        <w:t>Erroneously Awarded Incentive-Based Compensation</w:t>
      </w:r>
      <w:r>
        <w:rPr>
          <w:color w:val="000000"/>
        </w:rPr>
        <w:t xml:space="preserve">” </w:t>
      </w:r>
      <w:r>
        <w:rPr>
          <w:rFonts w:ascii="Times New Roman;serif" w:hAnsi="Times New Roman;serif"/>
          <w:b w:val="false"/>
          <w:color w:val="000000"/>
          <w:sz w:val="20"/>
        </w:rPr>
        <w:t>shall mean the amount of Incentive-Based Compensation received by a Covered Officer that exceeds the amount of Incentive-Based Compensation that otherwise would have been received had it been determined based on the restated amounts and must be computed without regard to any taxes paid. For Incentive-Based Compensation based on stock price or total shareholder return, where the amount is not subject to mathematical recalculation directly from the information in a Restatement, the amount must be based on a reasonable estimate of the effect of the Restatement on the stock price or total shareholder return, as applicable, upon which the Incentive-Based Compensation was received, and the Company must maintain documentation of that reasonable estimate and provide such documentation to Nasdaq. For the purposes of this Policy, Incentive-Based Compensation will be deemed to be received in the fiscal period during which the financial reporting measure specified in the applicable Incentive-Based Compensation award is attained, even if the payment or grant occurs after the end of that period.</w:t>
      </w:r>
    </w:p>
    <w:p>
      <w:pPr>
        <w:pStyle w:val="TextBody"/>
        <w:bidi w:val="0"/>
        <w:spacing w:lineRule="atLeast" w:line="230" w:before="234" w:after="283"/>
        <w:ind w:left="0" w:right="0" w:firstLine="432"/>
        <w:jc w:val="both"/>
        <w:rPr/>
      </w:pPr>
      <w:r>
        <w:rPr>
          <w:color w:val="000000"/>
        </w:rPr>
        <w:t>“</w:t>
      </w:r>
      <w:r>
        <w:rPr>
          <w:rFonts w:ascii="Times New Roman;serif" w:hAnsi="Times New Roman;serif"/>
          <w:b w:val="false"/>
          <w:color w:val="000000"/>
          <w:sz w:val="20"/>
          <w:u w:val="single"/>
        </w:rPr>
        <w:t>Incentive-Based Compensation</w:t>
      </w:r>
      <w:r>
        <w:rPr>
          <w:color w:val="000000"/>
        </w:rPr>
        <w:t xml:space="preserve">” </w:t>
      </w:r>
      <w:r>
        <w:rPr>
          <w:rFonts w:ascii="Times New Roman;serif" w:hAnsi="Times New Roman;serif"/>
          <w:b w:val="false"/>
          <w:color w:val="000000"/>
          <w:sz w:val="20"/>
        </w:rPr>
        <w:t xml:space="preserve">shall mean any compensation that is granted, earned, or vested based wholly or in part upon the attainment of a “financial reporting measure,” which refers to measures that are determined and presented in accordance with Generally Accepted Accounting Principles which are used in preparing the Company’s financial statements, and any measures that are derived wholly or in part from such measures. Stock price and total shareholder return are also financial reporting measures for this purpose. For avoidance of doubt, a financial </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1"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tLeast" w:line="230" w:before="234" w:after="283"/>
        <w:jc w:val="both"/>
        <w:rPr>
          <w:rFonts w:ascii="Times New Roman;serif" w:hAnsi="Times New Roman;serif"/>
          <w:b w:val="false"/>
          <w:color w:val="000000"/>
          <w:sz w:val="20"/>
        </w:rPr>
      </w:pPr>
      <w:r>
        <w:rPr>
          <w:rFonts w:ascii="Times New Roman;serif" w:hAnsi="Times New Roman;serif"/>
          <w:b w:val="false"/>
          <w:color w:val="000000"/>
          <w:sz w:val="20"/>
        </w:rPr>
        <w:t>reporting measure need not be presented within the Company’s financial statements or included in a filing with the Securities and Exchange Commission.</w:t>
      </w:r>
    </w:p>
    <w:p>
      <w:pPr>
        <w:pStyle w:val="TextBody"/>
        <w:bidi w:val="0"/>
        <w:spacing w:lineRule="atLeast" w:line="230" w:before="100" w:after="283"/>
        <w:ind w:left="0" w:right="0" w:firstLine="432"/>
        <w:jc w:val="both"/>
        <w:rPr/>
      </w:pPr>
      <w:r>
        <w:rPr>
          <w:color w:val="000000"/>
        </w:rPr>
        <w:t>“</w:t>
      </w:r>
      <w:r>
        <w:rPr>
          <w:rFonts w:ascii="Times New Roman;serif" w:hAnsi="Times New Roman;serif"/>
          <w:b w:val="false"/>
          <w:color w:val="000000"/>
          <w:sz w:val="20"/>
          <w:u w:val="single"/>
        </w:rPr>
        <w:t>Restatement</w:t>
      </w:r>
      <w:r>
        <w:rPr>
          <w:color w:val="000000"/>
        </w:rPr>
        <w:t xml:space="preserve">” </w:t>
      </w:r>
      <w:r>
        <w:rPr>
          <w:rFonts w:ascii="Times New Roman;serif" w:hAnsi="Times New Roman;serif"/>
          <w:b w:val="false"/>
          <w:color w:val="000000"/>
          <w:sz w:val="20"/>
        </w:rPr>
        <w:t>shall mean any required accounting restatement of the Company’s financial statements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tLeast" w:line="220" w:before="236" w:after="283"/>
        <w:jc w:val="both"/>
        <w:rPr/>
      </w:pPr>
      <w:r>
        <w:rPr>
          <w:rFonts w:ascii="Times New Roman;serif" w:hAnsi="Times New Roman;serif"/>
          <w:b/>
          <w:color w:val="000000"/>
          <w:sz w:val="20"/>
        </w:rPr>
        <w:t>IV.</w:t>
      </w:r>
      <w:r>
        <w:rPr>
          <w:rFonts w:ascii="Times New Roman;serif" w:hAnsi="Times New Roman;serif"/>
          <w:b/>
          <w:color w:val="000000"/>
          <w:sz w:val="20"/>
        </w:rPr>
        <w:t>RECOUPMENT OF ERRONEOUSLY AWARDED INCENTIVE-BASED COMPENSATION</w:t>
      </w:r>
    </w:p>
    <w:p>
      <w:pPr>
        <w:pStyle w:val="TextBody"/>
        <w:bidi w:val="0"/>
        <w:spacing w:before="0" w:after="0"/>
        <w:ind w:left="0" w:right="0" w:firstLine="432"/>
        <w:jc w:val="both"/>
        <w:rPr/>
      </w:pPr>
      <w:r>
        <w:rPr/>
      </w:r>
    </w:p>
    <w:p>
      <w:pPr>
        <w:pStyle w:val="TextBody"/>
        <w:bidi w:val="0"/>
        <w:spacing w:lineRule="atLeast" w:line="230"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In the event of a Restatement, the Board (or any committee to which the Board may delegate its authority hereunder) shall recover reasonably promptly from any Covered Officer the amount of any Erroneously Awarded Incentive-Based Compensation.</w:t>
      </w:r>
    </w:p>
    <w:p>
      <w:pPr>
        <w:pStyle w:val="TextBody"/>
        <w:bidi w:val="0"/>
        <w:spacing w:before="0" w:after="0"/>
        <w:ind w:left="0" w:right="0" w:firstLine="432"/>
        <w:jc w:val="left"/>
        <w:rPr/>
      </w:pPr>
      <w:r>
        <w:rPr/>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determining the amount of Erroneously Awarded Incentive-Based Compensation to be recovered from a Covered Officer pursuant to the immediately preceding paragraph, this Policy shall apply to all Incentive-Based Compensation received by a Covered Officer: (i) after beginning service as an executive officer; (ii) who served as an executive officer at any time during the performance period for the Incentive-Based Compensation; (iii) while the Company has a class of securities listed on a national securities exchange or a national securities association; and (iv) 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 For this purpose, the Company is deemed to be required to prepare a Restatement on the earlier of: (i) the date the Board, or the Company’s officers authorized to take such action if Board action is not required, concludes, or reasonably should have concluded, that the Company is required to prepare a Restatement; or (ii) the date a court, regulator, or other legally authorized body directs the Company to prepare a Restatement. The Company’s obligation to recover Erroneously Awarded Incentive-Based Compensation is not dependent on if or when the restated financial statements are filed with the Securities and Exchange Commission.</w:t>
      </w:r>
    </w:p>
    <w:p>
      <w:pPr>
        <w:pStyle w:val="TextBody"/>
        <w:bidi w:val="0"/>
        <w:spacing w:lineRule="atLeast" w:line="220" w:before="232" w:after="283"/>
        <w:jc w:val="both"/>
        <w:rPr/>
      </w:pPr>
      <w:r>
        <w:rPr>
          <w:rFonts w:ascii="Times New Roman;serif" w:hAnsi="Times New Roman;serif"/>
          <w:b/>
          <w:color w:val="000000"/>
          <w:sz w:val="20"/>
        </w:rPr>
        <w:t>V.</w:t>
      </w:r>
      <w:r>
        <w:rPr>
          <w:rFonts w:ascii="Times New Roman;serif" w:hAnsi="Times New Roman;serif"/>
          <w:b w:val="false"/>
          <w:color w:val="000000"/>
          <w:sz w:val="20"/>
        </w:rPr>
        <w:t>The Company shall recover the Erroneously Awarded Incentive-Based Compensation from Covered Officers unless the Board determines that recovery is impracticable because: (i) the direct expense to a third party to assist in enforcing this Policy would exceed the amount of Erroneously Awarded Incentive-Based Compensation; provided that the Company must make a reasonable attempt to recover the Erroneously Awarded Incentive-Based Compensation before concluding that recovery is impracticable, document such reasonable attempt to recover the Erroneously Awarded Incentive-Based Compensation and provide such documentation to Nasdaq; or (ii) recovery would likely cause an otherwise tax-qualified retirement plan, under which benefits are broadly available to employees of the Company, to fail to meet the applicable requirements of 26 U.S.C. 401(a)(13) or 26 U.S.C. 411(a) and regulations thereunder.</w:t>
      </w:r>
    </w:p>
    <w:p>
      <w:pPr>
        <w:pStyle w:val="TextBody"/>
        <w:bidi w:val="0"/>
        <w:spacing w:lineRule="atLeast" w:line="220" w:before="232" w:after="283"/>
        <w:jc w:val="both"/>
        <w:rPr/>
      </w:pPr>
      <w:r>
        <w:rPr>
          <w:rFonts w:ascii="Times New Roman;serif" w:hAnsi="Times New Roman;serif"/>
          <w:b/>
          <w:color w:val="000000"/>
          <w:sz w:val="20"/>
        </w:rPr>
        <w:t>VI.</w:t>
      </w:r>
      <w:r>
        <w:rPr>
          <w:rFonts w:ascii="Times New Roman;serif" w:hAnsi="Times New Roman;serif"/>
          <w:b/>
          <w:color w:val="000000"/>
          <w:sz w:val="20"/>
        </w:rPr>
        <w:t>RECOUPMENT OF INCENTIVE COMPENSATION</w:t>
      </w:r>
    </w:p>
    <w:p>
      <w:pPr>
        <w:pStyle w:val="TextBody"/>
        <w:bidi w:val="0"/>
        <w:spacing w:lineRule="atLeast" w:line="220" w:before="232"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Without limiting Section IV of this Policy, in the event that Erroneously Awarded Incentive-Based Compensation is recovered in accordance with Section IV of this Policy, the Company shall, in the discretion of the Board, be permitted to recover reasonably promptly from any Award Recipient any or all of amount of any Incentive Compensation that is granted, earned, or vested 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 To the extent the Board determines to recoup such Incentive Compensation and the Board has not determined that the recovery of Erroneously Awarded Incentive-Based Compensation is impracticable in accordance with the terms of this Policy, the Company shall recover such Incentive Compensation in accordance with Section IV of this Policy.</w:t>
      </w:r>
    </w:p>
    <w:p>
      <w:pPr>
        <w:pStyle w:val="TextBody"/>
        <w:bidi w:val="0"/>
        <w:spacing w:before="232" w:after="283"/>
        <w:ind w:left="0" w:right="0" w:firstLine="450"/>
        <w:jc w:val="both"/>
        <w:rPr/>
      </w:pPr>
      <w:r>
        <w:rPr/>
      </w:r>
    </w:p>
    <w:p>
      <w:pPr>
        <w:pStyle w:val="TextBody"/>
        <w:bidi w:val="0"/>
        <w:spacing w:before="232" w:after="283"/>
        <w:ind w:left="0" w:right="0" w:firstLine="450"/>
        <w:jc w:val="both"/>
        <w:rPr/>
      </w:pPr>
      <w:r>
        <w:rPr/>
      </w:r>
    </w:p>
    <w:p>
      <w:pPr>
        <w:pStyle w:val="TextBody"/>
        <w:bidi w:val="0"/>
        <w:spacing w:before="232" w:after="283"/>
        <w:ind w:left="0" w:right="0" w:firstLine="45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2" name="Frame1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tLeast" w:line="220" w:before="232" w:after="283"/>
        <w:jc w:val="both"/>
        <w:rPr/>
      </w:pPr>
      <w:r>
        <w:rPr>
          <w:rFonts w:ascii="Times New Roman;serif" w:hAnsi="Times New Roman;serif"/>
          <w:b/>
          <w:color w:val="000000"/>
          <w:sz w:val="20"/>
        </w:rPr>
        <w:t>VII.</w:t>
      </w:r>
      <w:r>
        <w:rPr>
          <w:rFonts w:ascii="Times New Roman;serif" w:hAnsi="Times New Roman;serif"/>
          <w:b/>
          <w:color w:val="000000"/>
          <w:sz w:val="20"/>
        </w:rPr>
        <w:t>BINDING EFFECT OF DETERMINATIONS BY BOARD; DELEGATION</w:t>
      </w:r>
    </w:p>
    <w:p>
      <w:pPr>
        <w:pStyle w:val="TextBody"/>
        <w:bidi w:val="0"/>
        <w:spacing w:lineRule="atLeast" w:line="230" w:before="236" w:after="283"/>
        <w:ind w:left="0" w:right="0" w:firstLine="432"/>
        <w:jc w:val="both"/>
        <w:rPr/>
      </w:pPr>
      <w:r>
        <w:rPr>
          <w:rFonts w:ascii="Times New Roman;serif" w:hAnsi="Times New Roman;serif"/>
          <w:b w:val="false"/>
          <w:color w:val="000000"/>
          <w:sz w:val="20"/>
        </w:rPr>
        <w:t>The terms of this Policy shall be binding and enforceable against all persons subject to this Policy and their beneficiaries, heirs, executors, administrators or other legal representatives. The Board may delegate to the Compensation Committee of the Board (the “</w:t>
      </w:r>
      <w:r>
        <w:rPr>
          <w:rFonts w:ascii="Times New Roman;serif" w:hAnsi="Times New Roman;serif"/>
          <w:b w:val="false"/>
          <w:color w:val="000000"/>
          <w:sz w:val="20"/>
          <w:u w:val="single"/>
        </w:rPr>
        <w:t>Committee</w:t>
      </w:r>
      <w:r>
        <w:rPr>
          <w:color w:val="000000"/>
        </w:rPr>
        <w:t>”</w:t>
      </w:r>
      <w:r>
        <w:rPr>
          <w:rFonts w:ascii="Times New Roman;serif" w:hAnsi="Times New Roman;serif"/>
          <w:b w:val="false"/>
          <w:color w:val="000000"/>
          <w:sz w:val="20"/>
        </w:rPr>
        <w:t>) all determinations to be made and actions to be taken by the Board under this Policy. Any determination made by the Board or the Committee under this Policy shall be final, binding and conclusive on all parties.</w:t>
      </w:r>
    </w:p>
    <w:p>
      <w:pPr>
        <w:pStyle w:val="TextBody"/>
        <w:bidi w:val="0"/>
        <w:spacing w:lineRule="atLeast" w:line="220" w:before="237" w:after="283"/>
        <w:jc w:val="both"/>
        <w:rPr/>
      </w:pPr>
      <w:r>
        <w:rPr>
          <w:rFonts w:ascii="Times New Roman;serif" w:hAnsi="Times New Roman;serif"/>
          <w:b/>
          <w:color w:val="000000"/>
          <w:sz w:val="20"/>
        </w:rPr>
        <w:t>VIII.</w:t>
      </w:r>
      <w:r>
        <w:rPr>
          <w:rFonts w:ascii="Times New Roman;serif" w:hAnsi="Times New Roman;serif"/>
          <w:b/>
          <w:color w:val="000000"/>
          <w:sz w:val="20"/>
        </w:rPr>
        <w:t>SEVERABILITY</w:t>
      </w:r>
    </w:p>
    <w:p>
      <w:pPr>
        <w:pStyle w:val="TextBody"/>
        <w:bidi w:val="0"/>
        <w:spacing w:lineRule="atLeast" w:line="230" w:before="231"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If any provision of this Policy or the application of any such provision to any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tLeast" w:line="220" w:before="237" w:after="283"/>
        <w:jc w:val="both"/>
        <w:rPr/>
      </w:pPr>
      <w:r>
        <w:rPr>
          <w:rFonts w:ascii="Times New Roman;serif" w:hAnsi="Times New Roman;serif"/>
          <w:b/>
          <w:color w:val="000000"/>
          <w:sz w:val="20"/>
        </w:rPr>
        <w:t>IX.</w:t>
      </w:r>
      <w:r>
        <w:rPr>
          <w:rFonts w:ascii="Times New Roman;serif" w:hAnsi="Times New Roman;serif"/>
          <w:b/>
          <w:color w:val="000000"/>
          <w:sz w:val="20"/>
        </w:rPr>
        <w:t>NO IMPAIRMENT OF OTHER REMEDIES</w:t>
      </w:r>
    </w:p>
    <w:p>
      <w:pPr>
        <w:pStyle w:val="TextBody"/>
        <w:bidi w:val="0"/>
        <w:spacing w:lineRule="atLeast" w:line="228" w:before="232" w:after="283"/>
        <w:ind w:left="0" w:right="0" w:firstLine="432"/>
        <w:jc w:val="both"/>
        <w:rPr/>
      </w:pPr>
      <w:r>
        <w:rPr>
          <w:rFonts w:ascii="Times New Roman;serif" w:hAnsi="Times New Roman;serif"/>
          <w:b w:val="false"/>
          <w:color w:val="000000"/>
          <w:sz w:val="20"/>
        </w:rPr>
        <w:t>This Policy does not preclude the Company from taking any other action to enforce a Covered Officer’s obligations to the Company, including termination of employment or institution of civil or criminal proceedings against such Covered Officer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0"/>
        </w:rPr>
        <w:t>This Policy is in addition to the requirements of Section 304 of the Sarbanes-Oxley Act of 2002 that are applicable to the Company’s Chief Executive Officer and Chief Financial Officer. Any amounts paid to the Company pursuant to Section 304 of the Sarbanes-Oxley Act of 2002 shall be considered in determining any amounts recovered under this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7665"/>
                <wp:effectExtent l="0" t="0" r="0" b="0"/>
                <wp:wrapNone/>
                <wp:docPr id="143" name="Frame1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color w:val="000000"/>
          <w:sz w:val="24"/>
        </w:rPr>
      </w:pPr>
      <w:r>
        <w:rPr>
          <w:rFonts w:ascii="Arial;sans-serif" w:hAnsi="Arial;sans-serif"/>
          <w:b/>
          <w:color w:val="000000"/>
          <w:sz w:val="24"/>
        </w:rPr>
        <w:t>Description of Governmental Regulations</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General</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The ownership, operation, and management of our casino, retail sports wagering, online sports wagering, online casino, and/or racing operations (collectively, “Gaming Operations”) are subject to significant regulation under the laws and regulations of each of the jurisdictions in which we operate. Such gaming laws are generally based upon declarations of public policy designed to protect gaming consumers and the viability and integrity of the gaming industry. Gaming laws also may be designed to protect and maximize state, provincial and local revenues derived through taxes and licensing fees imposed on gaming industry participants, as well as to enhance economic development and tourism. To accomplish these public policy goals, gaming laws establish stringent procedures to ensure that operators and other participants in the gaming industry meet certain standards of character and fitness. In addition, gaming laws require gaming industry participants to:</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ensure that unsuitable individuals and organizations have no role in or association with Gaming Operations;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establish and maintain responsible accounting practices and procedures;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maintain effective controls over their financial practices, including establishing minimum procedures for internal fiscal affairs and the safeguarding of assets and revenues;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maintain systems for reliable record keeping;</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file periodic reports with gaming regulators;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ensure that contracts and financial transactions are commercially reasonable, reflect fair market value and are arms-length transactions; and</w: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4"/>
        </w:rPr>
        <w:t>establish programs to promote responsible gaming.</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Typically, the gaming regulatory environment for a particular jurisdiction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adopt rules and regulations under the implementing statutes;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interpret and enforce gaming laws;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impose disciplinary sanctions for violations, including fines and penalties;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review the character and fitness of participants in Gaming Operations and make determinations regarding their suitability or qualification for licensure;</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grant licenses for participation in Gaming Operations;</w:t>
      </w:r>
    </w:p>
    <w:p>
      <w:pPr>
        <w:pStyle w:val="TextBody"/>
        <w:bidi w:val="0"/>
        <w:spacing w:lineRule="auto" w:line="321"/>
        <w:ind w:left="0" w:right="0" w:hanging="360"/>
        <w:jc w:val="left"/>
        <w:rPr/>
      </w:pPr>
      <w:r>
        <w:rPr>
          <w:color w:val="000000"/>
        </w:rPr>
        <w:t>•</w:t>
      </w:r>
      <w:r>
        <w:rPr>
          <w:rFonts w:ascii="Arial;sans-serif" w:hAnsi="Arial;sans-serif"/>
          <w:b w:val="false"/>
          <w:color w:val="000000"/>
          <w:sz w:val="24"/>
        </w:rPr>
        <w:t>collect and review reports and information submitted by participants in Gaming Operations;</w:t>
      </w:r>
    </w:p>
    <w:p>
      <w:pPr>
        <w:pStyle w:val="TextBody"/>
        <w:bidi w:val="0"/>
        <w:spacing w:before="0" w:after="16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8620"/>
                <wp:effectExtent l="0" t="0" r="0" b="0"/>
                <wp:wrapNone/>
                <wp:docPr id="144" name="Frame14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review and approve transactions, such as acquisitions or change-of-control transactions of gaming industry participants, securities offerings and debt transactions engaged in by such participants; and</w: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4"/>
        </w:rPr>
        <w:t>establish and collect fees and taxes.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Any change in these gaming laws and regulations in a jurisdiction where we operate could have a material adverse effect on our Gaming Operations.</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Licensing and Suitability Determinations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Gaming laws require PENN Entertainment, Inc. (“PENN”, “Company”, “we”, “us”) and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Criteria used in determining whether to grant or renew a license to conduct Gaming Operations, while varying between jurisdictions, generally include consideration of factors such as: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the good character, honesty and integrity of the applicant;</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the financial stability, integrity and responsibility of the applicant, including whether the operation is adequately capitalized in the jurisdiction and exhibits the ability to maintain adequate insurance levels;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the quality of the applicant’s casino facilities;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the amount of revenue to be derived by the applicable jurisdiction from the operation of the applicant’s casino;</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the applicant’s practices with respect to minority hiring, training and procurement; and</w: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4"/>
        </w:rPr>
        <w:t>the effect on competition and general impact on the community.</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 evaluating individual applicants, gaming authorities consider the individual’s business experience and reputation for good character, the individual’s financial activities, the individual’s criminal history and the character of those with whom the individual associates.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 xml:space="preserve">Many gaming jurisdictions limit the number of licenses granted to operate casino, retail sports wagering, online sports wagering, online casino, and/or racing operations within those jurisdictions, and some jurisdictions limit the number or type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w:t>
      </w:r>
    </w:p>
    <w:p>
      <w:pPr>
        <w:pStyle w:val="TextBody"/>
        <w:bidi w:val="0"/>
        <w:spacing w:before="0" w:after="16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8620"/>
                <wp:effectExtent l="0" t="0" r="0" b="0"/>
                <wp:wrapNone/>
                <wp:docPr id="145" name="Frame14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The failure to renew any of our licenses and/or limitations on the number or type of licenses available to us could have a material adverse effect on our Gaming Operations.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Gaming regulatory authorities generally have broad powers with respect to licensing, and from time to time, under certain circumstances, may revoke, suspend, condition or limit our licenses. For example, on November 20, 2025, the Colorado Limited Gaming Control Commission added a condition to the Colorado gaming license held by one of our subsidiaries that provides that the Company shall not permit an investor to acquire, assume or exercise any control and/or influence over the Company unless and until the commission has determined that such investor is found suitable under applicable Colorado gaming laws.</w:t>
      </w:r>
    </w:p>
    <w:p>
      <w:pPr>
        <w:pStyle w:val="TextBody"/>
        <w:bidi w:val="0"/>
        <w:spacing w:lineRule="auto" w:line="321" w:before="0" w:after="0"/>
        <w:jc w:val="left"/>
        <w:rPr>
          <w:rFonts w:ascii="Arial;sans-serif" w:hAnsi="Arial;sans-serif"/>
          <w:b w:val="false"/>
          <w:color w:val="000000"/>
          <w:sz w:val="24"/>
        </w:rPr>
      </w:pPr>
      <w:r>
        <w:rPr>
          <w:rFonts w:ascii="Arial;sans-serif" w:hAnsi="Arial;sans-serif"/>
          <w:b w:val="false"/>
          <w:color w:val="000000"/>
          <w:sz w:val="24"/>
        </w:rPr>
        <w:t>In addition, the legislation permitting riverboat gaming in Iowa authorizes the granting of licenses to “qualified sponsoring organizations”, which is defined as a nonprofit corporation organized under the laws of the State of Iowa. The not-for-profit corporation is permitted to enter into operating agreements with persons qualified to conduct riverboat Gaming Operations. Such operators must be approved and licensed by the Iowa Racing and Gaming Commission. On January 27, 1995, the Iowa Racing and Gaming Commission authorized the issuance of a license to conduct gambling games on an excursion gambling boat to Iowa West Racing Association (the “Association”), a not-for-profit corporation organized for the purpose of facilitating riverboat gaming in Council Bluffs. The Association has entered into a sponsorship agreement with Ameristar Casino Council Bluffs, Inc. (“ACCB”) (the “Operator’s Contract”) authorizing ACCB to operate riverboat Gaming Operations in Council Bluffs under the Association’s gaming license, and the Iowa Racing and Gaming Commission has approved this contract. The initial term of the Operator’s Contract ran until March 31, 2015, and ACCB exercised an option to extend the term for an additional three-year period through March 31, 2018. In May 2017, the Association and ACCB extended the term of the Operator’s Contract through March 31, 2026, and in October 2024, the Association and ACCB entered into a Third Amended and Restated Operations Agreement, which extended the term through March 31, 2029, with four successive three-year renewal terms thereafter at the option of ACCB.</w:t>
      </w:r>
    </w:p>
    <w:p>
      <w:pPr>
        <w:pStyle w:val="TextBody"/>
        <w:bidi w:val="0"/>
        <w:spacing w:before="0" w:after="0"/>
        <w:jc w:val="left"/>
        <w:rPr/>
      </w:pPr>
      <w:r>
        <w:rPr/>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 xml:space="preserve">In addition to us and our direct and indirect subsidiaries engaged in Gaming Operations, gaming authorities have broad authority to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w:t>
      </w:r>
    </w:p>
    <w:p>
      <w:pPr>
        <w:pStyle w:val="TextBody"/>
        <w:bidi w:val="0"/>
        <w:spacing w:before="0" w:after="16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8620"/>
                <wp:effectExtent l="0" t="0" r="0" b="0"/>
                <wp:wrapNone/>
                <wp:docPr id="146" name="Frame14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 Most gaming authorities, however, allow an “institutional investor” to apply for a waiver or similar authorization. An “institutional investor” waiver is generally limited to certain non-individual investors acquiring and holding voting securities in the ordinary course of business as an institutional investor for passive investment purposes only, and not for the purpose of causing, directly or indirectly, the election of a member of our board of directors, any change in our articles of incorporation, bylaws, management, policies or operations, or those of any of our gaming affiliates, or the taking of any other action which gaming authorities find to be inconsistent with holding our voting securities for passive investment purposes only. In some jurisdictions, eligibility to file a statement of Beneficial Ownership on Schedule 13G is a requirement to be considered for, and to maintain, an institutional investor waiver. Even if a waiver is granted, an institutional investor generally may not take any action inconsistent with its status when the waiver was granted without prior notice and once again becoming subject to the foregoing reporting and application obligations.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 xml:space="preserve">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w:t>
      </w:r>
    </w:p>
    <w:p>
      <w:pPr>
        <w:pStyle w:val="TextBody"/>
        <w:bidi w:val="0"/>
        <w:spacing w:before="0" w:after="16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8620"/>
                <wp:effectExtent l="0" t="0" r="0" b="0"/>
                <wp:wrapNone/>
                <wp:docPr id="147" name="Frame14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The gaming jurisdictions in which we operate also require that suppliers of certain goods and services to gaming industry participants be licensed and require us to purchase and lease gaming equipment, and certain supplies and services only from licensed suppliers. A denial, revocation, or non-renewal of a license for one of our material suppliers could have a material adverse effect on our Gaming Operations.</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Violations of Gaming Laws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Furthermore, violations of laws in one jurisdiction could result in disciplinary action in other jurisdictions. As a result, violations by us of applicable gaming laws could have a material adverse effect on our Gaming Operations.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Some gaming jurisdictions prohibit certain types of political activity by a gaming licensee, its officers, directors and key people. A violation of such a prohibition may subject the offender to criminal and/or disciplinary action.</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Reporting and Record-keeping Requirements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We are required periodically to submit detailed financial and operating reports and furnish any other information about us, our shareholders, debt holders and our subsidiaries which gaming authorities may require. Under U.S.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pStyle w:val="TextBody"/>
        <w:bidi w:val="0"/>
        <w:spacing w:before="0" w:after="16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8620"/>
                <wp:effectExtent l="0" t="0" r="0" b="0"/>
                <wp:wrapNone/>
                <wp:docPr id="148" name="Frame14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Review and Approval of Transactions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Substantially all material loans, leases, sales of securities and similar financing transactions by us and our subsidiaries must be reported to and in some cases approved by gaming authorities. Neither we nor any of our subsidiaries may make a public offering of certain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Because of regulatory restrictions, our ability to grant a security interest in any of our gaming assets is limited and subject to receipt of prior approval by certain gaming authorities.</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License Fees and Gaming Taxes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a percentage of the gross gaming revenues received;</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the number of gaming devices and table games operated;</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4"/>
        </w:rPr>
        <w:t>admission fees for customers boarding our riverboat casinos; and/or</w: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4"/>
        </w:rPr>
        <w:t>one-time fees payable upon the initial receipt of a license and fees in connection with the renewal of a license.</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 some jurisdictions, gaming tax rates are graduated, such that they increase as gross gaming revenues increase. Furthermore, tax rates are subject to change, sometimes with little notice, and such changes could have a material adverse effect on our Gaming Operations.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 addition to taxes specifically unique to gaming, we are required to pay all other applicable taxes.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8620"/>
                <wp:effectExtent l="0" t="0" r="0" b="0"/>
                <wp:wrapNone/>
                <wp:docPr id="149" name="Frame14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Operational Requirements</w:t>
      </w:r>
    </w:p>
    <w:p>
      <w:pPr>
        <w:pStyle w:val="TextBody"/>
        <w:bidi w:val="0"/>
        <w:spacing w:lineRule="auto" w:line="312" w:before="0" w:after="0"/>
        <w:jc w:val="left"/>
        <w:rPr>
          <w:rFonts w:ascii="Arial;sans-serif" w:hAnsi="Arial;sans-serif"/>
          <w:b w:val="false"/>
          <w:color w:val="000000"/>
          <w:sz w:val="24"/>
        </w:rPr>
      </w:pPr>
      <w:r>
        <w:rPr>
          <w:rFonts w:ascii="Arial;sans-serif" w:hAnsi="Arial;sans-serif"/>
          <w:b w:val="false"/>
          <w:color w:val="000000"/>
          <w:sz w:val="24"/>
        </w:rPr>
        <w:t>In most jurisdictions, we are subject to certain requirements and restrictions on how we must conduct our Gaming Operations. In many jurisdictions, we are required to promote and/or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 For example, applicable Maryland law requires that a subsidiary offering sports wagering in that state comply with a diversity plan and that at least 5% of the ownership interest in the subsidiary be held by individuals meeting statutorily and regulatorily imposed criteria.</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000000"/>
          <w:sz w:val="24"/>
        </w:rPr>
      </w:pPr>
      <w:r>
        <w:rPr>
          <w:rFonts w:ascii="Arial;sans-serif" w:hAnsi="Arial;sans-serif"/>
          <w:b w:val="false"/>
          <w:color w:val="000000"/>
          <w:sz w:val="24"/>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w:t>
      </w:r>
    </w:p>
    <w:p>
      <w:pPr>
        <w:pStyle w:val="TextBody"/>
        <w:bidi w:val="0"/>
        <w:spacing w:before="0" w:after="0"/>
        <w:jc w:val="left"/>
        <w:rPr/>
      </w:pPr>
      <w:r>
        <w:rPr/>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Our operating properties are also subject to various rules and regulations related to the prevention of financial crimes and combating terrorism, including the U.S. Patriot Act of 2001. These rules and regulations require us to, among other things, implement policies and procedures related to anti-money laundering, suspicious activities, currency transaction reporting and due diligence on customers. Although we have policies and procedures designed to comply with these rules and regulations, to the extent they are not fully effective or do not meet heightened regulatory standards or expectations, we may be subject to fines, penalties, restrictions on certain activities, reputational harm, or other adverse consequences.</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Riverboat Casinos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 xml:space="preserve">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operations rules. In addition, the riverboat casinos may </w:t>
      </w:r>
    </w:p>
    <w:p>
      <w:pPr>
        <w:pStyle w:val="TextBody"/>
        <w:bidi w:val="0"/>
        <w:spacing w:before="0" w:after="16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8620"/>
                <wp:effectExtent l="0" t="0" r="0" b="0"/>
                <wp:wrapNone/>
                <wp:docPr id="150" name="Frame14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be subject to future U.S. Coast Guard regulations, or alternative security procedures, designed to increase homeland security which could affect some of our properties and require significant expenditures to bring such properties into compliance.</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Racetracks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We have horse racing operations at our thoroughbred racetracks in Charles Town, West Virginia; Grantville, Pennsylvania; Hobbs, New Mexico; Austintown, Ohio; Houston, Texas; at our quarter-horse racetrack through a joint venture agreement in San Antonio, Texas; and at our harness racetracks in Bangor, Maine; Dayton, Ohio; Washington, Pennsylvania; and Plainville, Massachusetts. We operate an off-track wagering facility in Longwood, Florida and hold a greyhound racing license for a currently inactive facility in Harlingen, Texas. We also continue to hold a minority interest in an account wagering operation in that state. In Pennsylvania, we have two off-track wagering facilities that operate within our new Category 4 casinos in York and Morgantown. We also conduct telephonic and electronic account wagering operations in twenty-five states pursuant to pari-mutuel licensees or approvals issued to us or one of our subsidiaries in Pennsylvania, Oregon and Massachusetts. We currently operate video lottery terminals and table games at the Charles Town, West Virginia racetrack, and operate video lottery terminals at our racetracks in Austintown, Ohio and Dayton, Ohio. We operate slot machines and table games at our Grantville, Pennsylvania and Washington, Pennsylvania racetracks, operate slot machines and table games in Bangor, Maine at a facility located near the racetrack, operate slot machines and video poker at our Hobbs, New Mexico racetrack, and operate slot machines and electronic table games at our Plainville, Massachusetts racetrack. Generally, our slot and table operations at racetracks are regulated in a similar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 xml:space="preserve">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 In addition to state regulatory oversight, the majority of our thoroughbred racetracks and their participants are subject to certain equine safety, welfare and drug testing rules and regulations established by the Horseracing Integrity </w:t>
      </w:r>
    </w:p>
    <w:p>
      <w:pPr>
        <w:pStyle w:val="TextBody"/>
        <w:bidi w:val="0"/>
        <w:spacing w:before="0" w:after="16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8620"/>
                <wp:effectExtent l="0" t="0" r="0" b="0"/>
                <wp:wrapNone/>
                <wp:docPr id="151" name="Frame15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and Safety Authority (HISA), which was established by Congress to enforce the Horseracing Integrity and Safety Act and which operates under the oversight of the Federal Trade Commission, and our racetracks and horsemen’s organizations at those racetracks are assessed annual fees to fund HISA.</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Retail Gaming Operations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Our subsidiary Illinois Gaming Investors LLC d/b/a Prairie State Gaming is licensed in Illinois as a Video Gaming Terminal (“VGT”) Operator to install and operate gaming devices in certain non-casino licensed establishments (such as restaurants, bars, taverns). In addition, our subsidiary Marquee by Penn, LLC is licensed in Pennsylvania as a VGT Operator to own, service and/or maintain gaming devices for placement and operation on the premises of licensed truck stop establishments. A VGT Operator may not have any ownership or control with respect to an establishment, and the regulations pertaining to VGT Operators are similar in many respects to those generally applicable to the gaming industry.</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Retail Sports Wagering</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 accordance with state gaming regulatory approvals, we currently offer retail sports wagering at a number of our casinos in jurisdictions that have legalized retail sports wagering and we anticipate adding additional retail sports wagering offerings in the future as additional jurisdictions authorize the implementation of sports wagering. Apart from Nevada, an affiliate of the Company manages all of our retail sportsbooks. In addition, the Company offers online, intrastate sports wagering, in certain of its retail jurisdictions where online, intrastate sports wagering is authorized and additional jurisdictions that may only authorize online, intrastate sports wagering. We anticipate adding additional online, intrastate sports wagering upon receipt of necessary approvals.</w:t>
      </w:r>
    </w:p>
    <w:p>
      <w:pPr>
        <w:pStyle w:val="TextBody"/>
        <w:bidi w:val="0"/>
        <w:spacing w:lineRule="auto" w:line="321" w:before="0" w:after="160"/>
        <w:jc w:val="left"/>
        <w:rPr>
          <w:rFonts w:ascii="Arial;sans-serif" w:hAnsi="Arial;sans-serif"/>
          <w:b/>
          <w:i/>
          <w:color w:val="000000"/>
          <w:sz w:val="24"/>
        </w:rPr>
      </w:pPr>
      <w:r>
        <w:rPr>
          <w:rFonts w:ascii="Arial;sans-serif" w:hAnsi="Arial;sans-serif"/>
          <w:b/>
          <w:i/>
          <w:color w:val="000000"/>
          <w:sz w:val="24"/>
        </w:rPr>
        <w:t>Interactive Business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 xml:space="preserve">We are subject to various federal, state, provincial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w:t>
      </w:r>
    </w:p>
    <w:p>
      <w:pPr>
        <w:pStyle w:val="TextBody"/>
        <w:bidi w:val="0"/>
        <w:spacing w:before="0" w:after="16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8620"/>
                <wp:effectExtent l="0" t="0" r="0" b="0"/>
                <wp:wrapNone/>
                <wp:docPr id="152" name="Frame15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regulations, our compliance requirements and costs will increase, and we may be subject to increased regulatory scrutiny.</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pStyle w:val="TextBody"/>
        <w:bidi w:val="0"/>
        <w:spacing w:lineRule="auto" w:line="321" w:before="0" w:after="160"/>
        <w:jc w:val="left"/>
        <w:rPr>
          <w:rFonts w:ascii="Arial;sans-serif" w:hAnsi="Arial;sans-serif"/>
          <w:b w:val="false"/>
          <w:color w:val="000000"/>
          <w:sz w:val="24"/>
        </w:rPr>
      </w:pPr>
      <w:r>
        <w:rPr>
          <w:rFonts w:ascii="Arial;sans-serif" w:hAnsi="Arial;sans-serif"/>
          <w:b w:val="false"/>
          <w:color w:val="000000"/>
          <w:sz w:val="24"/>
        </w:rPr>
        <w:t>In addition, an affiliate of the Company offers lawful intrastate real money online internet gaming in jurisdictions that permit it, including slots, table games and poker, pursuant to statutory authorization of the activity in those states,regulations adopted by the applicable regulatory authorities, and licenses or approvals issued by the appropriate regulatory authority in the jurisdiction. We anticipate adding additional intrastate real money online internet gaming where statutorily authorized and following receipt of any necessary licensing and approvals.</w:t>
      </w:r>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8620"/>
                <wp:effectExtent l="0" t="0" r="0" b="0"/>
                <wp:wrapNone/>
                <wp:docPr id="153" name="Frame15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10</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21738/000110465920007843/tm205508d2_ex2-1.htm" TargetMode="External"/><Relationship Id="rId4" Type="http://schemas.openxmlformats.org/officeDocument/2006/relationships/hyperlink" Target="https://www.sec.gov/Archives/edgar/data/0000921738/000110465920048389/tm2016085d1_ex2-1.htm" TargetMode="External"/><Relationship Id="rId5" Type="http://schemas.openxmlformats.org/officeDocument/2006/relationships/hyperlink" Target="https://www.sec.gov/Archives/edgar/data/921738/000110465921100817/tm2124243d1_ex2-1.htm" TargetMode="External"/><Relationship Id="rId6" Type="http://schemas.openxmlformats.org/officeDocument/2006/relationships/hyperlink" Target="https://www.sec.gov/Archives/edgar/data/921738/000092173821000034/articlesofincorporation-62.htm" TargetMode="External"/><Relationship Id="rId7" Type="http://schemas.openxmlformats.org/officeDocument/2006/relationships/hyperlink" Target="https://www.sec.gov/Archives/edgar/data/921738/000092173822000037/pennex3106302022.htm" TargetMode="External"/><Relationship Id="rId8" Type="http://schemas.openxmlformats.org/officeDocument/2006/relationships/hyperlink" Target="https://www.sec.gov/Archives/edgar/data/921738/000110465925119994/tm2533114d1_ex3-1.htm" TargetMode="External"/><Relationship Id="rId9" Type="http://schemas.openxmlformats.org/officeDocument/2006/relationships/hyperlink" Target="https://www.sec.gov/Archives/edgar/data/921738/000110465920023447/tm209344d1_ex3-1.htm" TargetMode="External"/><Relationship Id="rId10" Type="http://schemas.openxmlformats.org/officeDocument/2006/relationships/hyperlink" Target="https://www.sec.gov/Archives/edgar/data/921738/000110465903018221/a03-1087_1ex3d6.htm" TargetMode="External"/><Relationship Id="rId11" Type="http://schemas.openxmlformats.org/officeDocument/2006/relationships/hyperlink" Target="https://www.sec.gov/Archives/edgar/data/921738/000110465917003356/a17-2755_1ex4d1.htm" TargetMode="External"/><Relationship Id="rId12" Type="http://schemas.openxmlformats.org/officeDocument/2006/relationships/hyperlink" Target="https://www.sec.gov/Archives/edgar/data/0000921738/000110465917003356/a17-2755_1ex4d1.htm" TargetMode="External"/><Relationship Id="rId13" Type="http://schemas.openxmlformats.org/officeDocument/2006/relationships/hyperlink" Target="https://www.sec.gov/Archives/edgar/data/0000921738/000110465920061586/tm2019206d9_ex4-1.htm" TargetMode="External"/><Relationship Id="rId14" Type="http://schemas.openxmlformats.org/officeDocument/2006/relationships/hyperlink" Target="https://www.sec.gov/Archives/edgar/data/0000921738/000110465920061586/tm2019206d9_ex4-2.htm" TargetMode="External"/><Relationship Id="rId15" Type="http://schemas.openxmlformats.org/officeDocument/2006/relationships/hyperlink" Target="https://www.sec.gov/Archives/edgar/data/0000921738/000110465920061586/tm2019206d9_ex4-2.htm" TargetMode="External"/><Relationship Id="rId16" Type="http://schemas.openxmlformats.org/officeDocument/2006/relationships/hyperlink" Target="https://www.sec.gov/Archives/edgar/data/921738/000092173820000009/pennex44123119.htm" TargetMode="External"/><Relationship Id="rId17" Type="http://schemas.openxmlformats.org/officeDocument/2006/relationships/hyperlink" Target="https://www.sec.gov/Archives/edgar/data/921738/000110465921088276/tm2120561d2_ex4-1.htm" TargetMode="External"/><Relationship Id="rId18" Type="http://schemas.openxmlformats.org/officeDocument/2006/relationships/hyperlink" Target="https://www.sec.gov/Archives/edgar/data/921738/000110465921088276/tm2120561d2_ex4-1.htm" TargetMode="External"/><Relationship Id="rId19" Type="http://schemas.openxmlformats.org/officeDocument/2006/relationships/hyperlink" Target="https://www.sec.gov/Archives/edgar/data/921738/000110465923088855/tm2323045d1_ex4-1.htm" TargetMode="External"/><Relationship Id="rId20" Type="http://schemas.openxmlformats.org/officeDocument/2006/relationships/hyperlink" Target="https://www.sec.gov/Archives/edgar/data/921738/000110465923088855/tm2323045d1_ex4-2.htm" TargetMode="External"/><Relationship Id="rId21" Type="http://schemas.openxmlformats.org/officeDocument/2006/relationships/hyperlink" Target="https://www.sec.gov/Archives/edgar/data/921738/000110465923088855/tm2323045d1_ex4-3.htm" TargetMode="External"/><Relationship Id="rId22" Type="http://schemas.openxmlformats.org/officeDocument/2006/relationships/hyperlink" Target="https://www.sec.gov/Archives/edgar/data/921738/000092173825000040/pennex41-q32025.htm" TargetMode="External"/><Relationship Id="rId23" Type="http://schemas.openxmlformats.org/officeDocument/2006/relationships/hyperlink" Target="https://www.sec.gov/Archives/edgar/data/0000921738/000092173821000009/pennex101123120.htm" TargetMode="External"/><Relationship Id="rId24" Type="http://schemas.openxmlformats.org/officeDocument/2006/relationships/hyperlink" Target="https://www.sec.gov/Archives/edgar/data/921738/000155837017003399/penn-20170331ex1010948c7.htm" TargetMode="External"/><Relationship Id="rId25" Type="http://schemas.openxmlformats.org/officeDocument/2006/relationships/hyperlink" Target="https://www.sec.gov/Archives/edgar/data/921738/000104746909002104/a2190897zex-10_33.htm" TargetMode="External"/><Relationship Id="rId26" Type="http://schemas.openxmlformats.org/officeDocument/2006/relationships/hyperlink" Target="https://www.sec.gov/Archives/edgar/data/921738/000119312521129077/d130463ddef14a.htm" TargetMode="External"/><Relationship Id="rId27" Type="http://schemas.openxmlformats.org/officeDocument/2006/relationships/hyperlink" Target="https://www.sec.gov/Archives/edgar/data/921738/000110465918050216/a18-18423_1ex10d4.htm" TargetMode="External"/><Relationship Id="rId28" Type="http://schemas.openxmlformats.org/officeDocument/2006/relationships/hyperlink" Target="https://www.sec.gov/Archives/edgar/data/921738/000110465919009865/a19-5109_1ex10d1.htm" TargetMode="External"/><Relationship Id="rId29" Type="http://schemas.openxmlformats.org/officeDocument/2006/relationships/hyperlink" Target="https://www.sec.gov/Archives/edgar/data/921738/000092173820000018/pennex1010033120.htm" TargetMode="External"/><Relationship Id="rId30" Type="http://schemas.openxmlformats.org/officeDocument/2006/relationships/hyperlink" Target="https://www.sec.gov/Archives/edgar/data/921738/000092173820000009/pennex103h123119.htm" TargetMode="External"/><Relationship Id="rId31" Type="http://schemas.openxmlformats.org/officeDocument/2006/relationships/hyperlink" Target="https://www.sec.gov/Archives/edgar/data/921738/000092173820000009/pennex103i123119.htm" TargetMode="External"/><Relationship Id="rId32" Type="http://schemas.openxmlformats.org/officeDocument/2006/relationships/hyperlink" Target="https://www.sec.gov/Archives/edgar/data/921738/000092173820000009/pennex103j123119.htm" TargetMode="External"/><Relationship Id="rId33" Type="http://schemas.openxmlformats.org/officeDocument/2006/relationships/hyperlink" Target="https://www.sec.gov/Archives/edgar/data/921738/000092173820000009/pennex103k123119.htm" TargetMode="External"/><Relationship Id="rId34" Type="http://schemas.openxmlformats.org/officeDocument/2006/relationships/hyperlink" Target="https://www.sec.gov/Archives/edgar/data/921738/000092173820000009/pennex103l123119.htm" TargetMode="External"/><Relationship Id="rId35" Type="http://schemas.openxmlformats.org/officeDocument/2006/relationships/hyperlink" Target="https://www.sec.gov/Archives/edgar/data/921738/000092173820000009/pennex103m123119.htm" TargetMode="External"/><Relationship Id="rId36" Type="http://schemas.openxmlformats.org/officeDocument/2006/relationships/hyperlink" Target="https://www.sec.gov/Archives/edgar/data/921738/000092173821000046/pennex102063021.htm" TargetMode="External"/><Relationship Id="rId37" Type="http://schemas.openxmlformats.org/officeDocument/2006/relationships/hyperlink" Target="https://www.sec.gov/Archives/edgar/data/921738/000092173821000046/pennex103063021.htm" TargetMode="External"/><Relationship Id="rId38" Type="http://schemas.openxmlformats.org/officeDocument/2006/relationships/hyperlink" Target="https://www.sec.gov/Archives/edgar/data/921738/000092173822000022/exhibit101-ltip6722.htm" TargetMode="External"/><Relationship Id="rId39" Type="http://schemas.openxmlformats.org/officeDocument/2006/relationships/hyperlink" Target="https://www.sec.gov/Archives/edgar/data/921738/000092173822000027/exhibit102-2022formofstock.htm" TargetMode="External"/><Relationship Id="rId40" Type="http://schemas.openxmlformats.org/officeDocument/2006/relationships/hyperlink" Target="https://www.sec.gov/Archives/edgar/data/921738/000092173822000027/exhibit103-2022formofcashs.htm" TargetMode="External"/><Relationship Id="rId41" Type="http://schemas.openxmlformats.org/officeDocument/2006/relationships/hyperlink" Target="https://www.sec.gov/Archives/edgar/data/921738/000092173822000027/exhibit104-2022formofstock.htm" TargetMode="External"/><Relationship Id="rId42" Type="http://schemas.openxmlformats.org/officeDocument/2006/relationships/hyperlink" Target="https://www.sec.gov/Archives/edgar/data/921738/000092173822000027/exhibit105-2022formofrestr.htm" TargetMode="External"/><Relationship Id="rId43" Type="http://schemas.openxmlformats.org/officeDocument/2006/relationships/hyperlink" Target="https://www.sec.gov/Archives/edgar/data/921738/000092173822000027/exhibit106-2022formofnonxq.htm" TargetMode="External"/><Relationship Id="rId44" Type="http://schemas.openxmlformats.org/officeDocument/2006/relationships/hyperlink" Target="https://www.sec.gov/Archives/edgar/data/921738/000092173822000027/exhibit107-2022formofstock.htm" TargetMode="External"/><Relationship Id="rId45" Type="http://schemas.openxmlformats.org/officeDocument/2006/relationships/hyperlink" Target="https://www.sec.gov/Archives/edgar/data/921738/000092173825000029/pennex10206302025.htm" TargetMode="External"/><Relationship Id="rId46" Type="http://schemas.openxmlformats.org/officeDocument/2006/relationships/hyperlink" Target="https://www.sec.gov/Archives/edgar/data/921738/000092173824000012/pennex106123123.htm" TargetMode="External"/><Relationship Id="rId47" Type="http://schemas.openxmlformats.org/officeDocument/2006/relationships/hyperlink" Target="https://www.sec.gov/Archives/edgar/data/921738/000092173825000043/pennex10209302025.htm" TargetMode="External"/><Relationship Id="rId48" Type="http://schemas.openxmlformats.org/officeDocument/2006/relationships/hyperlink" Target="https://www.sec.gov/Archives/edgar/data/921738/000092173825000017/pennex10103312025.htm" TargetMode="External"/><Relationship Id="rId49" Type="http://schemas.openxmlformats.org/officeDocument/2006/relationships/hyperlink" Target="https://www.sec.gov/Archives/edgar/data/921738/000092173823000010/pennex1013123122.htm" TargetMode="External"/><Relationship Id="rId50" Type="http://schemas.openxmlformats.org/officeDocument/2006/relationships/hyperlink" Target="https://www.sec.gov/Archives/edgar/data/921738/000092173822000011/pennex1013123121.htm" TargetMode="External"/><Relationship Id="rId51" Type="http://schemas.openxmlformats.org/officeDocument/2006/relationships/hyperlink" Target="https://www.sec.gov/Archives/edgar/data/921738/000110465913082394/a13-23793_2ex10d1.htm" TargetMode="External"/><Relationship Id="rId52" Type="http://schemas.openxmlformats.org/officeDocument/2006/relationships/hyperlink" Target="https://www.sec.gov/Archives/edgar/data/921738/000110465914033291/a14-9599_1ex10d2.htm" TargetMode="External"/><Relationship Id="rId53" Type="http://schemas.openxmlformats.org/officeDocument/2006/relationships/hyperlink" Target="https://www.sec.gov/Archives/edgar/data/921738/000110465914055966/a14-14045_1ex10d4.htm" TargetMode="External"/><Relationship Id="rId54" Type="http://schemas.openxmlformats.org/officeDocument/2006/relationships/hyperlink" Target="https://www.sec.gov/Archives/edgar/data/921738/000155837016009319/penn-20160930ex1040e3836.htm" TargetMode="External"/><Relationship Id="rId55" Type="http://schemas.openxmlformats.org/officeDocument/2006/relationships/hyperlink" Target="https://www.sec.gov/Archives/edgar/data/921738/000155837017003399/penn-20170331ex106805417.htm" TargetMode="External"/><Relationship Id="rId56" Type="http://schemas.openxmlformats.org/officeDocument/2006/relationships/hyperlink" Target="https://www.sec.gov/Archives/edgar/data/921738/000155837018006106/penn-20180630ex1038685ff.htm" TargetMode="External"/><Relationship Id="rId57" Type="http://schemas.openxmlformats.org/officeDocument/2006/relationships/hyperlink" Target="https://www.sec.gov/Archives/edgar/data/921738/000155837018008932/penn-20180930ex101647d65.htm" TargetMode="External"/><Relationship Id="rId58" Type="http://schemas.openxmlformats.org/officeDocument/2006/relationships/hyperlink" Target="https://www.sec.gov/Archives/edgar/data/921738/000155837018008932/penn-20180930ex101752c76.htm" TargetMode="External"/><Relationship Id="rId59" Type="http://schemas.openxmlformats.org/officeDocument/2006/relationships/hyperlink" Target="https://www.sec.gov/Archives/edgar/data/921738/000092173819000011/pennex1028h123118.htm" TargetMode="External"/><Relationship Id="rId60" Type="http://schemas.openxmlformats.org/officeDocument/2006/relationships/hyperlink" Target="https://www.sec.gov/Archives/edgar/data/921738/000092173822000011/pennex1014i123121.htm" TargetMode="External"/><Relationship Id="rId61" Type="http://schemas.openxmlformats.org/officeDocument/2006/relationships/hyperlink" Target="https://www.sec.gov/Archives/edgar/data/1656239/000119312516563660/d188073dex22.htm" TargetMode="External"/><Relationship Id="rId62" Type="http://schemas.openxmlformats.org/officeDocument/2006/relationships/hyperlink" Target="https://www.sec.gov/Archives/edgar/data/1656239/000165623916000034/exhibit23093016.htm" TargetMode="External"/><Relationship Id="rId63" Type="http://schemas.openxmlformats.org/officeDocument/2006/relationships/hyperlink" Target="https://www.sec.gov/Archives/edgar/data/1656239/000165623916000034/exhibit24093016.htm" TargetMode="External"/><Relationship Id="rId64" Type="http://schemas.openxmlformats.org/officeDocument/2006/relationships/hyperlink" Target="https://www.sec.gov/Archives/edgar/data/1656239/000165623917000033/d363017dex101.htm" TargetMode="External"/><Relationship Id="rId65" Type="http://schemas.openxmlformats.org/officeDocument/2006/relationships/hyperlink" Target="https://www.sec.gov/Archives/edgar/data/921738/000110465918061976/a18-36729_1ex10d6.htm" TargetMode="External"/><Relationship Id="rId66" Type="http://schemas.openxmlformats.org/officeDocument/2006/relationships/hyperlink" Target="https://www.sec.gov/Archives/edgar/data/921738/000092173822000011/pennex1015e123121.htm" TargetMode="External"/><Relationship Id="rId67" Type="http://schemas.openxmlformats.org/officeDocument/2006/relationships/hyperlink" Target="https://www.sec.gov/Archives/edgar/data/921738/000110465918061976/a18-36729_1ex10d7.htm" TargetMode="External"/><Relationship Id="rId68" Type="http://schemas.openxmlformats.org/officeDocument/2006/relationships/hyperlink" Target="https://www.sec.gov/Archives/edgar/data/0000921738/000110465920048389/tm2016085d1_ex2-2.htm" TargetMode="External"/><Relationship Id="rId69" Type="http://schemas.openxmlformats.org/officeDocument/2006/relationships/hyperlink" Target="https://www.sec.gov/Archives/edgar/data/921738/000092173822000019/pennex10303312022.htm" TargetMode="External"/><Relationship Id="rId70" Type="http://schemas.openxmlformats.org/officeDocument/2006/relationships/hyperlink" Target="https://www.sec.gov/Archives/edgar/data/921738/000092173824000012/pennex1017123123.htm" TargetMode="External"/><Relationship Id="rId71" Type="http://schemas.openxmlformats.org/officeDocument/2006/relationships/hyperlink" Target="https://www.sec.gov/Archives/edgar/data/921738/000110465924125366/tm2427890d2_ex10-1.htm" TargetMode="External"/><Relationship Id="rId72" Type="http://schemas.openxmlformats.org/officeDocument/2006/relationships/hyperlink" Target="https://www.sec.gov/Archives/edgar/data/921738/000110465910008189/a10-4165_1ex99d1.htm" TargetMode="External"/><Relationship Id="rId73" Type="http://schemas.openxmlformats.org/officeDocument/2006/relationships/hyperlink" Target="https://www.sec.gov/Archives/edgar/data/921738/000092173822000043/exhibit101-bindingtermshee.htm" TargetMode="External"/><Relationship Id="rId74" Type="http://schemas.openxmlformats.org/officeDocument/2006/relationships/hyperlink" Target="https://www.sec.gov/Archives/edgar/data/921738/000092173823000010/pennex1022123122.htm" TargetMode="External"/><Relationship Id="rId75" Type="http://schemas.openxmlformats.org/officeDocument/2006/relationships/hyperlink" Target="https://www.sec.gov/Archives/edgar/data/921738/000092173823000010/pennex1023123122.htm" TargetMode="External"/><Relationship Id="rId76" Type="http://schemas.openxmlformats.org/officeDocument/2006/relationships/hyperlink" Target="https://www.sec.gov/Archives/edgar/data/921738/000092173825000017/pennex10203312025.htm" TargetMode="External"/><Relationship Id="rId77" Type="http://schemas.openxmlformats.org/officeDocument/2006/relationships/hyperlink" Target="https://www.sec.gov/Archives/edgar/data/921738/000092173825000017/pennex10303312025.htm" TargetMode="External"/><Relationship Id="rId78" Type="http://schemas.openxmlformats.org/officeDocument/2006/relationships/hyperlink" Target="https://www.sec.gov/Archives/edgar/data/921738/000092173825000017/pennex10403312025.htm" TargetMode="External"/><Relationship Id="rId79" Type="http://schemas.openxmlformats.org/officeDocument/2006/relationships/hyperlink" Target="https://www.sec.gov/Archives/edgar/data/921738/000092173825000017/pennex10503312025.htm" TargetMode="External"/><Relationship Id="rId80" Type="http://schemas.openxmlformats.org/officeDocument/2006/relationships/hyperlink" Target="https://www.sec.gov/ix?doc=/Archives/edgar/data/921738/000114036125015822/ny20042107x2_def14a.htm" TargetMode="External"/><Relationship Id="rId81" Type="http://schemas.openxmlformats.org/officeDocument/2006/relationships/hyperlink" Target="https://www.sec.gov/Archives/edgar/data/921738/000114036123030263/brhc20054430_ex10-2.htm" TargetMode="External"/><Relationship Id="rId82" Type="http://schemas.openxmlformats.org/officeDocument/2006/relationships/hyperlink" Target="https://www.sec.gov/Archives/edgar/data/921738/000114036123030263/brhc20054430_ex10-3.htm" TargetMode="External"/><Relationship Id="rId83" Type="http://schemas.openxmlformats.org/officeDocument/2006/relationships/hyperlink" Target="https://www.sec.gov/Archives/edgar/data/921738/000092173824000029/pennex101063024.htm" TargetMode="External"/><Relationship Id="rId84" Type="http://schemas.openxmlformats.org/officeDocument/2006/relationships/hyperlink" Target="https://www.sec.gov/Archives/edgar/data/921738/000114036123030263/brhc20054430_ex10-5.htm" TargetMode="External"/><Relationship Id="rId85" Type="http://schemas.openxmlformats.org/officeDocument/2006/relationships/hyperlink" Target="https://www.sec.gov/Archives/edgar/data/921738/000114036123030263/brhc20054430_ex10-6.htm" TargetMode="External"/><Relationship Id="rId86" Type="http://schemas.openxmlformats.org/officeDocument/2006/relationships/hyperlink" Target="https://www.sec.gov/Archives/edgar/data/921738/000092173824000029/pennex102063024.htm" TargetMode="External"/><Relationship Id="rId87" Type="http://schemas.openxmlformats.org/officeDocument/2006/relationships/hyperlink" Target="https://www.sec.gov/Archives/edgar/data/921738/000114036123030263/brhc20054430_ex10-7.htm" TargetMode="External"/><Relationship Id="rId88" Type="http://schemas.openxmlformats.org/officeDocument/2006/relationships/hyperlink" Target="https://www.sec.gov/Archives/edgar/data/921738/000114036126000833/ef20062667_ex10-1.htm" TargetMode="External"/><Relationship Id="rId89" Type="http://schemas.openxmlformats.org/officeDocument/2006/relationships/hyperlink" Target="https://www.sec.gov/Archives/edgar/data/921738/000110465926018332/tm267014d1_ex10-1.htm" TargetMode="External"/><Relationship Id="rId90" Type="http://schemas.openxmlformats.org/officeDocument/2006/relationships/hyperlink" Target="https://www.sec.gov/Archives/edgar/data/921738/000110465926018332/tm267014d1_ex10-1.htm" TargetMode="External"/><Relationship Id="rId91" Type="http://schemas.openxmlformats.org/officeDocument/2006/relationships/hyperlink" Target="https://www.sec.gov/Archives/edgar/data/921738/000110465926018332/tm267014d1_ex10-1.htm" TargetMode="External"/><Relationship Id="rId92" Type="http://schemas.openxmlformats.org/officeDocument/2006/relationships/hyperlink" Target="https://www.sec.gov/Archives/edgar/data/921738/000110465926018332/tm267014d1_ex10-1.htm" TargetMode="External"/><Relationship Id="rId93" Type="http://schemas.openxmlformats.org/officeDocument/2006/relationships/hyperlink" Target="https://www.sec.gov/Archives/edgar/data/921738/000110465926018332/tm267014d1_ex10-1.htm" TargetMode="External"/><Relationship Id="rId94" Type="http://schemas.openxmlformats.org/officeDocument/2006/relationships/hyperlink" Target="https://www.sec.gov/Archives/edgar/data/921738/000110465926018332/tm267014d1_ex10-1.htm" TargetMode="External"/><Relationship Id="rId95" Type="http://schemas.openxmlformats.org/officeDocument/2006/relationships/hyperlink" Target="https://www.sec.gov/Archives/edgar/data/921738/000110465926018332/tm267014d1_ex10-1.htm" TargetMode="External"/><Relationship Id="rId96" Type="http://schemas.openxmlformats.org/officeDocument/2006/relationships/hyperlink" Target="https://www.sec.gov/Archives/edgar/data/921738/000110465926018332/tm267014d1_ex10-1.htm" TargetMode="External"/><Relationship Id="rId97" Type="http://schemas.openxmlformats.org/officeDocument/2006/relationships/hyperlink" Target="https://www.sec.gov/Archives/edgar/data/921738/000110465926018332/tm267014d1_ex10-1.htm" TargetMode="External"/><Relationship Id="rId98" Type="http://schemas.openxmlformats.org/officeDocument/2006/relationships/hyperlink" Target="https://www.sec.gov/Archives/edgar/data/921738/000110465926018332/tm267014d1_ex10-1.htm" TargetMode="External"/><Relationship Id="rId99" Type="http://schemas.openxmlformats.org/officeDocument/2006/relationships/hyperlink" Target="https://www.sec.gov/Archives/edgar/data/921738/000110465926018332/tm267014d1_ex10-1.htm" TargetMode="External"/><Relationship Id="rId100" Type="http://schemas.openxmlformats.org/officeDocument/2006/relationships/hyperlink" Target="https://www.sec.gov/Archives/edgar/data/921738/000110465926018332/tm267014d1_ex10-1.htm" TargetMode="External"/><Relationship Id="rId101" Type="http://schemas.openxmlformats.org/officeDocument/2006/relationships/hyperlink" Target="https://www.sec.gov/Archives/edgar/data/921738/000092173825000008/pennex191123124.htm" TargetMode="External"/><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86589</Words>
  <Characters>486637</Characters>
  <CharactersWithSpaces>567954</CharactersWithSpaces>
  <Paragraphs>8133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