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Hartnett Johnny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825 BERKSHIRE BLVD., SUITE 200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WYOMISSING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19610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PENN Entertainment,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PENN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08/08/2026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43"/>
        <w:gridCol w:w="902"/>
        <w:gridCol w:w="772"/>
        <w:gridCol w:w="599"/>
        <w:gridCol w:w="347"/>
        <w:gridCol w:w="927"/>
        <w:gridCol w:w="451"/>
        <w:gridCol w:w="795"/>
        <w:gridCol w:w="1156"/>
        <w:gridCol w:w="993"/>
        <w:gridCol w:w="920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4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7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5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4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2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9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5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4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08/08/2026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14,775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9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1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31,610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4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08/08/2026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14,775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9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20.18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1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16,835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208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75"/>
        <w:gridCol w:w="861"/>
        <w:gridCol w:w="891"/>
        <w:gridCol w:w="771"/>
        <w:gridCol w:w="591"/>
        <w:gridCol w:w="300"/>
        <w:gridCol w:w="276"/>
        <w:gridCol w:w="711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08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7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7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7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Phantom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08/08/2026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14,775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08/08/2026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08/08/2026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14,775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reporting person receives a cash payment for each phantom stock unit equal to the fair market value on the vesting date of one share of the Company's common stock.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Joshua Sidsworth, Attorney-in-Fact for Johnny Hartnett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75409" TargetMode="External"/><Relationship Id="rId5" Type="http://schemas.openxmlformats.org/officeDocument/2006/relationships/hyperlink" Target="http://www.sec.gov/cgi-bin/browse-edgar?action=getcompany&amp;CIK=000092173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618</Words>
  <Characters>3345</Characters>
  <CharactersWithSpaces>3877</CharactersWithSpaces>
  <Paragraphs>114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