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PENN Entertainment,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0-24206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23-2234473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825 Berkshire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610-373-2400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940" w:hanging="3552"/>
        <w:spacing w:after="0" w:line="51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PENN</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PENN Entertainment,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held its 2026 Annual Meeting of Shareholders (the “</w:t>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on June 16, 2026. There were present at the Annual Meeting, either in person or by proxy, holders of 116,378,236 shares of common stock. A description of each matter voted upon at the Annual Meeting is described in detail in the Company’s definitive proxy statement filed with the Securities and Exchange Commission on April 27, 2026. The number of votes cast for and against and the number of abstentions and broker non-votes with respect to each matter voted upon are set forth below.</w:t>
      </w:r>
    </w:p>
    <w:p>
      <w:pPr>
        <w:spacing w:after="0" w:line="164" w:lineRule="exact"/>
        <w:rPr>
          <w:sz w:val="20"/>
          <w:szCs w:val="20"/>
          <w:color w:val="auto"/>
        </w:rPr>
      </w:pPr>
    </w:p>
    <w:p>
      <w:pPr>
        <w:ind w:left="340" w:right="1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Class III Director nominees were elected to the Company’s Board of Directors (the “Board”) to serve until the 2029 Annual Meeting of Shareholders and until their respective successors are duly elected and qualified. The votes cast for each nominee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1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Marla Kaplowitz</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89,774,779</w:t>
            </w:r>
          </w:p>
        </w:tc>
        <w:tc>
          <w:tcPr>
            <w:tcW w:w="1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13,297,143</w:t>
            </w:r>
          </w:p>
        </w:tc>
        <w:tc>
          <w:tcPr>
            <w:tcW w:w="10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13,306,314</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 Scaccetti</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92,971,444</w:t>
            </w:r>
          </w:p>
        </w:tc>
        <w:tc>
          <w:tcPr>
            <w:tcW w:w="10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10,100,478</w:t>
            </w:r>
          </w:p>
        </w:tc>
        <w:tc>
          <w:tcPr>
            <w:tcW w:w="1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13,306,314</w:t>
            </w: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Fabio Schiavolin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102,312,318</w:t>
            </w:r>
          </w:p>
        </w:tc>
        <w:tc>
          <w:tcPr>
            <w:tcW w:w="100" w:type="dxa"/>
            <w:vAlign w:val="bottom"/>
            <w:shd w:val="clear" w:color="auto" w:fill="CCEEFF"/>
          </w:tcPr>
          <w:p>
            <w:pPr>
              <w:spacing w:after="0"/>
              <w:rPr>
                <w:sz w:val="18"/>
                <w:szCs w:val="18"/>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759,604</w:t>
            </w:r>
          </w:p>
        </w:tc>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13,306,314</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Snowden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99,755,630</w:t>
            </w:r>
          </w:p>
        </w:tc>
        <w:tc>
          <w:tcPr>
            <w:tcW w:w="1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3,316,292</w:t>
            </w:r>
          </w:p>
        </w:tc>
        <w:tc>
          <w:tcPr>
            <w:tcW w:w="10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13,306,314</w:t>
            </w:r>
          </w:p>
        </w:tc>
      </w:tr>
    </w:tbl>
    <w:p>
      <w:pPr>
        <w:spacing w:after="0" w:line="1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term of office of each of David Handler, Vimla Black-Gupta, Anuj Dhanda, Heather Ace, Jeffrey Fox, Johnny Hartnett and Carlos Ruisanchez continued following the Annual Meeting.</w:t>
      </w:r>
    </w:p>
    <w:p>
      <w:pPr>
        <w:spacing w:after="0" w:line="162" w:lineRule="exact"/>
        <w:rPr>
          <w:sz w:val="20"/>
          <w:szCs w:val="20"/>
          <w:color w:val="auto"/>
        </w:rPr>
      </w:pPr>
    </w:p>
    <w:p>
      <w:pPr>
        <w:ind w:left="340" w:right="1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vote to ratify the appointment of PricewaterhouseCoopers LLP to serve as the Company’s independent registered public accounting firm for the 2026 fiscal year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2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115,909,227</w:t>
            </w:r>
          </w:p>
        </w:tc>
        <w:tc>
          <w:tcPr>
            <w:tcW w:w="1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276,451</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192,558</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advisory vote on executive compensation of the Company’s Named Executive Officers for the 2025 fiscal year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2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90,146,492</w:t>
            </w:r>
          </w:p>
        </w:tc>
        <w:tc>
          <w:tcPr>
            <w:tcW w:w="1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12,778,578</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146,852</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13,306,314</w:t>
            </w:r>
          </w:p>
        </w:tc>
      </w:tr>
      <w:tr>
        <w:trPr>
          <w:trHeight w:val="398"/>
        </w:trPr>
        <w:tc>
          <w:tcPr>
            <w:tcW w:w="2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vote to approve the third amendment to the Company’s 2022 Long-Term Incentive Compensation Plan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2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81,706,683</w:t>
            </w:r>
          </w:p>
        </w:tc>
        <w:tc>
          <w:tcPr>
            <w:tcW w:w="1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21,249,317</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115,922</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13,306,314</w:t>
            </w: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advisory vote to approve the shareholder proposal regarding the annual elections of directors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2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82,389,215</w:t>
            </w:r>
          </w:p>
        </w:tc>
        <w:tc>
          <w:tcPr>
            <w:tcW w:w="1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20,495,322</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187,385</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13,306,314</w:t>
            </w:r>
          </w:p>
        </w:tc>
      </w:tr>
      <w:tr>
        <w:trPr>
          <w:trHeight w:val="398"/>
        </w:trPr>
        <w:tc>
          <w:tcPr>
            <w:tcW w:w="2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 w:val="left"/>
          <w:tab w:leader="none" w:pos="2240" w:val="left"/>
        </w:tabs>
        <w:rPr>
          <w:sz w:val="20"/>
          <w:szCs w:val="20"/>
          <w:color w:val="auto"/>
        </w:rPr>
      </w:pPr>
      <w:r>
        <w:rPr>
          <w:rFonts w:ascii="Times New Roman" w:cs="Times New Roman" w:eastAsia="Times New Roman" w:hAnsi="Times New Roman"/>
          <w:sz w:val="18"/>
          <w:szCs w:val="18"/>
          <w:color w:val="auto"/>
        </w:rPr>
        <w:t>Date:</w:t>
        <w:tab/>
        <w:t>June 18, 2026</w:t>
      </w:r>
      <w:r>
        <w:rPr>
          <w:sz w:val="20"/>
          <w:szCs w:val="20"/>
          <w:color w:val="auto"/>
        </w:rPr>
        <w:tab/>
      </w:r>
      <w:r>
        <w:rPr>
          <w:rFonts w:ascii="Times New Roman" w:cs="Times New Roman" w:eastAsia="Times New Roman" w:hAnsi="Times New Roman"/>
          <w:sz w:val="17"/>
          <w:szCs w:val="17"/>
          <w:color w:val="auto"/>
        </w:rPr>
        <w:t>PENN ENTERTAINMENT, INC.</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Christopher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26035</wp:posOffset>
            </wp:positionV>
            <wp:extent cx="54864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Christopher Rogers</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Executive Vice President, Chief Strategy and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00"/>
      </w:cols>
      <w:pgMar w:left="320" w:top="11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2026-06-18T15:29:44Z</dcterms:created>
  <dcterms:modified xsi:type="dcterms:W3CDTF">2026-06-18T15:29:44Z</dcterms:modified>
</cp:coreProperties>
</file>